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2F47E0" w14:textId="314C9AF5" w:rsidR="008B23B4" w:rsidRDefault="008B23B4" w:rsidP="004702C2">
      <w:pPr>
        <w:jc w:val="center"/>
        <w:rPr>
          <w:rFonts w:asciiTheme="minorHAnsi" w:hAnsiTheme="minorHAnsi" w:cstheme="minorHAnsi"/>
          <w:b/>
          <w:sz w:val="32"/>
          <w:szCs w:val="32"/>
        </w:rPr>
      </w:pPr>
      <w:r>
        <w:rPr>
          <w:rFonts w:asciiTheme="minorHAnsi" w:hAnsiTheme="minorHAnsi" w:cstheme="minorHAnsi"/>
          <w:b/>
          <w:sz w:val="32"/>
          <w:szCs w:val="32"/>
        </w:rPr>
        <w:t xml:space="preserve">Vyplňuje ESCO dle Smluvních podmínek a </w:t>
      </w:r>
      <w:r w:rsidR="00C34B0A">
        <w:rPr>
          <w:rFonts w:asciiTheme="minorHAnsi" w:hAnsiTheme="minorHAnsi" w:cstheme="minorHAnsi"/>
          <w:b/>
          <w:sz w:val="32"/>
          <w:szCs w:val="32"/>
        </w:rPr>
        <w:t xml:space="preserve">příloh uvedených v zadávací dokumentaci </w:t>
      </w:r>
    </w:p>
    <w:p w14:paraId="48DEFA73" w14:textId="77777777" w:rsidR="00C34B0A" w:rsidRDefault="00C34B0A" w:rsidP="004702C2">
      <w:pPr>
        <w:jc w:val="center"/>
        <w:rPr>
          <w:rFonts w:asciiTheme="minorHAnsi" w:hAnsiTheme="minorHAnsi" w:cstheme="minorHAnsi"/>
          <w:b/>
          <w:sz w:val="32"/>
          <w:szCs w:val="32"/>
        </w:rPr>
      </w:pPr>
    </w:p>
    <w:p w14:paraId="2825D98D" w14:textId="1AC2AE90" w:rsidR="00815D2A" w:rsidRDefault="00C34B0A" w:rsidP="00815D2A">
      <w:pPr>
        <w:jc w:val="center"/>
        <w:rPr>
          <w:rFonts w:asciiTheme="minorHAnsi" w:hAnsiTheme="minorHAnsi" w:cstheme="minorHAnsi"/>
          <w:b/>
          <w:sz w:val="32"/>
          <w:szCs w:val="32"/>
        </w:rPr>
      </w:pPr>
      <w:r>
        <w:rPr>
          <w:rFonts w:asciiTheme="minorHAnsi" w:hAnsiTheme="minorHAnsi" w:cstheme="minorHAnsi"/>
          <w:b/>
          <w:sz w:val="32"/>
          <w:szCs w:val="32"/>
        </w:rPr>
        <w:t xml:space="preserve">Níže uvedené údaje slouží jen jako příklad </w:t>
      </w:r>
      <w:r w:rsidR="00C34836">
        <w:rPr>
          <w:rFonts w:asciiTheme="minorHAnsi" w:hAnsiTheme="minorHAnsi" w:cstheme="minorHAnsi"/>
          <w:b/>
          <w:sz w:val="32"/>
          <w:szCs w:val="32"/>
        </w:rPr>
        <w:t>k </w:t>
      </w:r>
      <w:r w:rsidR="00815D2A">
        <w:rPr>
          <w:rFonts w:asciiTheme="minorHAnsi" w:hAnsiTheme="minorHAnsi" w:cstheme="minorHAnsi"/>
          <w:b/>
          <w:sz w:val="32"/>
          <w:szCs w:val="32"/>
        </w:rPr>
        <w:t>vyplnění</w:t>
      </w:r>
      <w:r>
        <w:rPr>
          <w:rFonts w:asciiTheme="minorHAnsi" w:hAnsiTheme="minorHAnsi" w:cstheme="minorHAnsi"/>
          <w:b/>
          <w:sz w:val="32"/>
          <w:szCs w:val="32"/>
        </w:rPr>
        <w:t xml:space="preserve"> </w:t>
      </w:r>
    </w:p>
    <w:p w14:paraId="46CBF5F8" w14:textId="26E234E7" w:rsidR="00C34B0A" w:rsidRPr="00530BBB" w:rsidRDefault="00815D2A" w:rsidP="004702C2">
      <w:pPr>
        <w:jc w:val="center"/>
        <w:rPr>
          <w:rFonts w:asciiTheme="minorHAnsi" w:hAnsiTheme="minorHAnsi" w:cstheme="minorHAnsi"/>
          <w:b/>
          <w:sz w:val="32"/>
          <w:szCs w:val="32"/>
        </w:rPr>
      </w:pPr>
      <w:r w:rsidRPr="00530BBB">
        <w:rPr>
          <w:rFonts w:asciiTheme="minorHAnsi" w:hAnsiTheme="minorHAnsi" w:cstheme="minorHAnsi"/>
          <w:b/>
          <w:sz w:val="32"/>
          <w:szCs w:val="32"/>
        </w:rPr>
        <w:t>Přílohy</w:t>
      </w:r>
    </w:p>
    <w:p w14:paraId="5025B2F9" w14:textId="77777777" w:rsidR="004702C2" w:rsidRPr="00530BBB" w:rsidRDefault="004702C2" w:rsidP="004702C2">
      <w:pPr>
        <w:jc w:val="center"/>
        <w:rPr>
          <w:rFonts w:asciiTheme="minorHAnsi" w:hAnsiTheme="minorHAnsi" w:cstheme="minorHAnsi"/>
          <w:b/>
          <w:sz w:val="32"/>
          <w:szCs w:val="32"/>
        </w:rPr>
      </w:pPr>
      <w:r w:rsidRPr="00530BBB">
        <w:rPr>
          <w:rFonts w:asciiTheme="minorHAnsi" w:hAnsiTheme="minorHAnsi" w:cstheme="minorHAnsi"/>
          <w:b/>
          <w:sz w:val="32"/>
          <w:szCs w:val="32"/>
        </w:rPr>
        <w:t>Smlouvy o energetických službách určených veřejnému zadavateli</w:t>
      </w:r>
    </w:p>
    <w:p w14:paraId="514FEBE6" w14:textId="77777777" w:rsidR="004702C2" w:rsidRPr="00530BBB" w:rsidRDefault="004702C2" w:rsidP="004702C2">
      <w:pPr>
        <w:rPr>
          <w:rFonts w:asciiTheme="minorHAnsi" w:hAnsiTheme="minorHAnsi" w:cstheme="minorHAnsi"/>
          <w:b/>
          <w:sz w:val="28"/>
          <w:szCs w:val="28"/>
        </w:rPr>
      </w:pPr>
    </w:p>
    <w:p w14:paraId="0219B08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t>Obsah:</w:t>
      </w:r>
    </w:p>
    <w:p w14:paraId="2E96A41B"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1: Popis výchozího stavu včetně referenční spotřeby a referenčních nákladů</w:t>
      </w:r>
    </w:p>
    <w:p w14:paraId="642270F5"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2: Popis úsporných opatření</w:t>
      </w:r>
    </w:p>
    <w:p w14:paraId="18544CFC"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3: Cena a její úhrada</w:t>
      </w:r>
    </w:p>
    <w:p w14:paraId="751A1B30" w14:textId="42901CAE"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 xml:space="preserve">Příloha č. 4: Harmonogram realizace </w:t>
      </w:r>
      <w:r w:rsidR="00C5149E">
        <w:rPr>
          <w:rFonts w:asciiTheme="minorHAnsi" w:hAnsiTheme="minorHAnsi" w:cstheme="minorHAnsi"/>
          <w:bCs/>
          <w:szCs w:val="22"/>
        </w:rPr>
        <w:t>akce</w:t>
      </w:r>
    </w:p>
    <w:p w14:paraId="0591F0C2"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5: Výše garantované úspory</w:t>
      </w:r>
    </w:p>
    <w:p w14:paraId="4ACE00BE"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6: Vyhodnocování dosažených úspor</w:t>
      </w:r>
    </w:p>
    <w:p w14:paraId="5BFF50B0"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7: Energetický management</w:t>
      </w:r>
    </w:p>
    <w:p w14:paraId="6CC75DB4"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8: Oprávněné osoby</w:t>
      </w:r>
    </w:p>
    <w:p w14:paraId="3762C691" w14:textId="77777777" w:rsidR="004702C2" w:rsidRPr="00530BBB" w:rsidRDefault="004702C2" w:rsidP="004702C2">
      <w:pPr>
        <w:rPr>
          <w:rFonts w:asciiTheme="minorHAnsi" w:hAnsiTheme="minorHAnsi" w:cstheme="minorHAnsi"/>
          <w:bCs/>
          <w:szCs w:val="22"/>
        </w:rPr>
      </w:pPr>
      <w:r w:rsidRPr="00530BBB">
        <w:rPr>
          <w:rFonts w:asciiTheme="minorHAnsi" w:hAnsiTheme="minorHAnsi" w:cstheme="minorHAnsi"/>
          <w:bCs/>
          <w:szCs w:val="22"/>
        </w:rPr>
        <w:t>Příloha č. 9: Seznam poddodavatelů</w:t>
      </w:r>
    </w:p>
    <w:p w14:paraId="63686C09" w14:textId="20E85771" w:rsidR="004702C2" w:rsidRPr="00530BBB" w:rsidRDefault="004702C2" w:rsidP="004702C2">
      <w:pPr>
        <w:rPr>
          <w:rFonts w:asciiTheme="minorHAnsi" w:hAnsiTheme="minorHAnsi" w:cstheme="minorHAnsi"/>
          <w:bCs/>
          <w:szCs w:val="22"/>
        </w:rPr>
      </w:pPr>
    </w:p>
    <w:p w14:paraId="38057A6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br w:type="page"/>
      </w:r>
      <w:r w:rsidRPr="00530BBB">
        <w:rPr>
          <w:rFonts w:asciiTheme="minorHAnsi" w:hAnsiTheme="minorHAnsi" w:cstheme="minorHAnsi"/>
          <w:b/>
          <w:sz w:val="28"/>
          <w:szCs w:val="28"/>
        </w:rPr>
        <w:lastRenderedPageBreak/>
        <w:t>ÚVOD</w:t>
      </w:r>
    </w:p>
    <w:p w14:paraId="45366351" w14:textId="0E48DA83" w:rsidR="004702C2" w:rsidRPr="009C0752" w:rsidRDefault="004702C2" w:rsidP="004702C2">
      <w:pPr>
        <w:rPr>
          <w:rFonts w:asciiTheme="minorHAnsi" w:hAnsiTheme="minorHAnsi" w:cstheme="minorHAnsi"/>
          <w:color w:val="000000" w:themeColor="text1"/>
        </w:rPr>
      </w:pPr>
      <w:r w:rsidRPr="009C0752">
        <w:rPr>
          <w:rFonts w:asciiTheme="minorHAnsi" w:hAnsiTheme="minorHAnsi" w:cstheme="minorHAnsi"/>
          <w:color w:val="000000" w:themeColor="text1"/>
        </w:rPr>
        <w:t>Přílohy ke smlouvě o energetických služb</w:t>
      </w:r>
      <w:r w:rsidR="000E4D98" w:rsidRPr="009C0752">
        <w:rPr>
          <w:rFonts w:asciiTheme="minorHAnsi" w:hAnsiTheme="minorHAnsi" w:cstheme="minorHAnsi"/>
          <w:color w:val="000000" w:themeColor="text1"/>
        </w:rPr>
        <w:t>ách</w:t>
      </w:r>
      <w:r w:rsidRPr="009C0752">
        <w:rPr>
          <w:rFonts w:asciiTheme="minorHAnsi" w:hAnsiTheme="minorHAnsi" w:cstheme="minorHAnsi"/>
          <w:color w:val="000000" w:themeColor="text1"/>
        </w:rPr>
        <w:t xml:space="preserve"> se zaručeným výsledkem</w:t>
      </w:r>
      <w:r w:rsidR="000E4D98" w:rsidRPr="009C0752">
        <w:rPr>
          <w:rFonts w:asciiTheme="minorHAnsi" w:hAnsiTheme="minorHAnsi" w:cstheme="minorHAnsi"/>
          <w:color w:val="000000" w:themeColor="text1"/>
        </w:rPr>
        <w:t xml:space="preserve"> určených veřejnému zadavateli</w:t>
      </w:r>
      <w:r w:rsidRPr="009C0752">
        <w:rPr>
          <w:rFonts w:asciiTheme="minorHAnsi" w:hAnsiTheme="minorHAnsi" w:cstheme="minorHAnsi"/>
          <w:color w:val="000000" w:themeColor="text1"/>
        </w:rPr>
        <w:t xml:space="preserve"> (SES) jsou vytvořeny tak, aby popsaly v plném rozsahu </w:t>
      </w:r>
      <w:r w:rsidR="001C4B31">
        <w:rPr>
          <w:rFonts w:asciiTheme="minorHAnsi" w:hAnsiTheme="minorHAnsi" w:cstheme="minorHAnsi"/>
          <w:color w:val="000000" w:themeColor="text1"/>
        </w:rPr>
        <w:t>akci (</w:t>
      </w:r>
      <w:r w:rsidRPr="009C0752">
        <w:rPr>
          <w:rFonts w:asciiTheme="minorHAnsi" w:hAnsiTheme="minorHAnsi" w:cstheme="minorHAnsi"/>
          <w:color w:val="000000" w:themeColor="text1"/>
        </w:rPr>
        <w:t>projekt</w:t>
      </w:r>
      <w:r w:rsidR="001C4B31">
        <w:rPr>
          <w:rFonts w:asciiTheme="minorHAnsi" w:hAnsiTheme="minorHAnsi" w:cstheme="minorHAnsi"/>
          <w:color w:val="000000" w:themeColor="text1"/>
        </w:rPr>
        <w:t>)</w:t>
      </w:r>
      <w:r w:rsidRPr="009C0752">
        <w:rPr>
          <w:rFonts w:asciiTheme="minorHAnsi" w:hAnsiTheme="minorHAnsi" w:cstheme="minorHAnsi"/>
          <w:color w:val="000000" w:themeColor="text1"/>
        </w:rPr>
        <w:t xml:space="preserve">, </w:t>
      </w:r>
      <w:r w:rsidR="001C4B31">
        <w:rPr>
          <w:rFonts w:asciiTheme="minorHAnsi" w:hAnsiTheme="minorHAnsi" w:cstheme="minorHAnsi"/>
          <w:color w:val="000000" w:themeColor="text1"/>
        </w:rPr>
        <w:t>její (</w:t>
      </w:r>
      <w:r w:rsidRPr="009C0752">
        <w:rPr>
          <w:rFonts w:asciiTheme="minorHAnsi" w:hAnsiTheme="minorHAnsi" w:cstheme="minorHAnsi"/>
          <w:color w:val="000000" w:themeColor="text1"/>
        </w:rPr>
        <w:t>jeho</w:t>
      </w:r>
      <w:r w:rsidR="001C4B31">
        <w:rPr>
          <w:rFonts w:asciiTheme="minorHAnsi" w:hAnsiTheme="minorHAnsi" w:cstheme="minorHAnsi"/>
          <w:color w:val="000000" w:themeColor="text1"/>
        </w:rPr>
        <w:t>)</w:t>
      </w:r>
      <w:r w:rsidRPr="009C0752">
        <w:rPr>
          <w:rFonts w:asciiTheme="minorHAnsi" w:hAnsiTheme="minorHAnsi" w:cstheme="minorHAnsi"/>
          <w:color w:val="000000" w:themeColor="text1"/>
        </w:rPr>
        <w:t xml:space="preserve"> přínosy a detaily realizace.</w:t>
      </w:r>
    </w:p>
    <w:p w14:paraId="528CEB59" w14:textId="130B147D"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Přílohy ke smlouvě SES současně obsahují vše, co je součástí tzv. plánu měření a verifikace dosažených výsledků </w:t>
      </w:r>
      <w:r w:rsidR="00E663E3">
        <w:rPr>
          <w:rFonts w:asciiTheme="minorHAnsi" w:hAnsiTheme="minorHAnsi" w:cstheme="minorHAnsi"/>
        </w:rPr>
        <w:t>akce/</w:t>
      </w:r>
      <w:r w:rsidRPr="00530BBB">
        <w:rPr>
          <w:rFonts w:asciiTheme="minorHAnsi" w:hAnsiTheme="minorHAnsi" w:cstheme="minorHAnsi"/>
        </w:rPr>
        <w:t xml:space="preserve">projektu </w:t>
      </w:r>
      <w:r w:rsidR="005D4F4F">
        <w:rPr>
          <w:rFonts w:asciiTheme="minorHAnsi" w:hAnsiTheme="minorHAnsi" w:cstheme="minorHAnsi"/>
        </w:rPr>
        <w:t>(</w:t>
      </w:r>
      <w:r w:rsidRPr="00530BBB">
        <w:rPr>
          <w:rFonts w:asciiTheme="minorHAnsi" w:hAnsiTheme="minorHAnsi" w:cstheme="minorHAnsi"/>
        </w:rPr>
        <w:t>plán M&amp;V</w:t>
      </w:r>
      <w:r w:rsidR="005D4F4F">
        <w:rPr>
          <w:rFonts w:asciiTheme="minorHAnsi" w:hAnsiTheme="minorHAnsi" w:cstheme="minorHAnsi"/>
        </w:rPr>
        <w:t>)</w:t>
      </w:r>
      <w:r w:rsidRPr="00530BBB">
        <w:rPr>
          <w:rFonts w:asciiTheme="minorHAnsi" w:hAnsiTheme="minorHAnsi" w:cstheme="minorHAnsi"/>
        </w:rPr>
        <w:t xml:space="preserve">. Plán M&amp;V má být vždy vypracován v době, kdy se navrhují energeticky úsporná opatření, a je povinnou součástí smlouvy o poskytování energetických služeb se zaručeným výsledkem. </w:t>
      </w:r>
    </w:p>
    <w:p w14:paraId="032D95C5" w14:textId="02D6108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Obsah plánu M&amp;V je stanoven Mezinárodním protokolem k měření a verifikaci úspor (International Performance Measurement and Verification Protocol) organizace EVO (Efficiency Valuation Organisation, který byl do České republiky přenesen v roce 2011 v rámci projektu PERMANENT Evropské komise, a který je v češtině ke stažení na stránce </w:t>
      </w:r>
      <w:hyperlink r:id="rId8" w:history="1">
        <w:r w:rsidRPr="00530BBB">
          <w:rPr>
            <w:rStyle w:val="Hypertextovodkaz"/>
            <w:rFonts w:asciiTheme="minorHAnsi" w:hAnsiTheme="minorHAnsi" w:cstheme="minorHAnsi"/>
          </w:rPr>
          <w:t>www.evo-world.org</w:t>
        </w:r>
      </w:hyperlink>
      <w:r w:rsidRPr="00530BBB">
        <w:rPr>
          <w:rFonts w:asciiTheme="minorHAnsi" w:hAnsiTheme="minorHAnsi" w:cstheme="minorHAnsi"/>
        </w:rPr>
        <w:t xml:space="preserve">. IPMVP poskytuje přehled nejlepších současných přístupů a technik verifikace výsledků </w:t>
      </w:r>
      <w:r w:rsidR="001C4B31">
        <w:rPr>
          <w:rFonts w:asciiTheme="minorHAnsi" w:hAnsiTheme="minorHAnsi" w:cstheme="minorHAnsi"/>
        </w:rPr>
        <w:t>akcí (</w:t>
      </w:r>
      <w:r w:rsidRPr="00530BBB">
        <w:rPr>
          <w:rFonts w:asciiTheme="minorHAnsi" w:hAnsiTheme="minorHAnsi" w:cstheme="minorHAnsi"/>
        </w:rPr>
        <w:t>projektů</w:t>
      </w:r>
      <w:r w:rsidR="001C4B31">
        <w:rPr>
          <w:rFonts w:asciiTheme="minorHAnsi" w:hAnsiTheme="minorHAnsi" w:cstheme="minorHAnsi"/>
        </w:rPr>
        <w:t>)</w:t>
      </w:r>
      <w:r w:rsidRPr="00530BBB">
        <w:rPr>
          <w:rFonts w:asciiTheme="minorHAnsi" w:hAnsiTheme="minorHAnsi" w:cstheme="minorHAnsi"/>
        </w:rPr>
        <w:t xml:space="preserve"> zaměřených na úspory energie a vody a </w:t>
      </w:r>
      <w:r w:rsidR="001C4B31">
        <w:rPr>
          <w:rFonts w:asciiTheme="minorHAnsi" w:hAnsiTheme="minorHAnsi" w:cstheme="minorHAnsi"/>
        </w:rPr>
        <w:t>akcí (</w:t>
      </w:r>
      <w:r w:rsidRPr="00530BBB">
        <w:rPr>
          <w:rFonts w:asciiTheme="minorHAnsi" w:hAnsiTheme="minorHAnsi" w:cstheme="minorHAnsi"/>
        </w:rPr>
        <w:t>projektů</w:t>
      </w:r>
      <w:r w:rsidR="001C4B31">
        <w:rPr>
          <w:rFonts w:asciiTheme="minorHAnsi" w:hAnsiTheme="minorHAnsi" w:cstheme="minorHAnsi"/>
        </w:rPr>
        <w:t>)</w:t>
      </w:r>
      <w:r w:rsidRPr="00530BBB">
        <w:rPr>
          <w:rFonts w:asciiTheme="minorHAnsi" w:hAnsiTheme="minorHAnsi" w:cstheme="minorHAnsi"/>
        </w:rPr>
        <w:t xml:space="preserve"> zaměřených na využívání obnovitelných zdrojů energie v komerčních a průmyslových zařízeních. Obzvláště se používá v případě energetických služeb s garantovanou úsporou, kdy se úspory musejí dokladovat přímo klientovi a závisí na nich splátka investice provedené firmou energetických služeb (ESCO).</w:t>
      </w:r>
    </w:p>
    <w:p w14:paraId="06D75148"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0D55D8CE" w14:textId="77777777" w:rsidR="004702C2" w:rsidRPr="00530BBB" w:rsidRDefault="004702C2" w:rsidP="004702C2">
      <w:pPr>
        <w:pStyle w:val="Nadpis1"/>
        <w:numPr>
          <w:ilvl w:val="0"/>
          <w:numId w:val="0"/>
        </w:numPr>
        <w:jc w:val="both"/>
        <w:rPr>
          <w:rFonts w:asciiTheme="minorHAnsi" w:hAnsiTheme="minorHAnsi" w:cstheme="minorHAnsi"/>
        </w:rPr>
      </w:pPr>
      <w:bookmarkStart w:id="0" w:name="_Toc85704327"/>
      <w:r w:rsidRPr="00530BBB">
        <w:rPr>
          <w:rFonts w:asciiTheme="minorHAnsi" w:hAnsiTheme="minorHAnsi" w:cstheme="minorHAnsi"/>
        </w:rPr>
        <w:lastRenderedPageBreak/>
        <w:t>Příloha č. 1: Popis výchozího stavu včetně referenční spotřeby a referenčních nákladů</w:t>
      </w:r>
      <w:bookmarkEnd w:id="0"/>
    </w:p>
    <w:p w14:paraId="316B104C"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35D0A67" w14:textId="77777777" w:rsidR="004702C2" w:rsidRPr="00530BBB" w:rsidRDefault="004702C2" w:rsidP="004702C2">
      <w:pPr>
        <w:spacing w:before="240"/>
        <w:rPr>
          <w:rFonts w:asciiTheme="minorHAnsi" w:hAnsiTheme="minorHAnsi" w:cstheme="minorHAnsi"/>
        </w:rPr>
      </w:pPr>
      <w:r w:rsidRPr="00530BBB">
        <w:rPr>
          <w:rFonts w:asciiTheme="minorHAnsi" w:hAnsiTheme="minorHAnsi" w:cstheme="minorHAnsi"/>
        </w:rPr>
        <w:t>Tato příloha bude obsahovat</w:t>
      </w:r>
      <w:r w:rsidRPr="00530BBB">
        <w:rPr>
          <w:rFonts w:asciiTheme="minorHAnsi" w:hAnsiTheme="minorHAnsi" w:cstheme="minorHAnsi"/>
          <w:b/>
        </w:rPr>
        <w:t xml:space="preserve"> popis výchozího stavu (tj. stavu před realizací opatření dle této smlouvy) ve spotřebě paliv a energie v objektech a zařízeních, které jsou předmětem plnění smlouvy o poskytování energetických služeb se zaručeným výsledkem. </w:t>
      </w:r>
      <w:r w:rsidRPr="00530BBB">
        <w:rPr>
          <w:rFonts w:asciiTheme="minorHAnsi" w:hAnsiTheme="minorHAnsi" w:cstheme="minorHAnsi"/>
        </w:rPr>
        <w:t>Výchozí údaje jsou referenčními údaji pro výpočet úspory nákladů.</w:t>
      </w:r>
    </w:p>
    <w:p w14:paraId="5364FFB6" w14:textId="77777777" w:rsidR="004702C2" w:rsidRPr="00530BBB" w:rsidRDefault="004702C2" w:rsidP="004702C2">
      <w:pPr>
        <w:spacing w:before="240"/>
        <w:rPr>
          <w:rFonts w:asciiTheme="minorHAnsi" w:hAnsiTheme="minorHAnsi" w:cstheme="minorHAnsi"/>
          <w:b/>
        </w:rPr>
      </w:pPr>
      <w:r w:rsidRPr="00530BBB">
        <w:rPr>
          <w:rFonts w:asciiTheme="minorHAnsi" w:hAnsiTheme="minorHAnsi" w:cstheme="minorHAnsi"/>
        </w:rPr>
        <w:t>Tuto přílohu vytvoří ESCO z podkladů jí poskytnutých.</w:t>
      </w:r>
    </w:p>
    <w:p w14:paraId="64B2D157" w14:textId="77777777" w:rsidR="004702C2" w:rsidRPr="00530BBB" w:rsidRDefault="004702C2" w:rsidP="004702C2">
      <w:pPr>
        <w:rPr>
          <w:rFonts w:asciiTheme="minorHAnsi" w:hAnsiTheme="minorHAnsi" w:cstheme="minorHAnsi"/>
        </w:rPr>
      </w:pPr>
      <w:r w:rsidRPr="00530BBB">
        <w:rPr>
          <w:rFonts w:asciiTheme="minorHAnsi" w:hAnsiTheme="minorHAnsi" w:cstheme="minorHAnsi"/>
          <w:b/>
        </w:rPr>
        <w:t>Obsah přílohy vychází ze zadávací dokumentace, případně vysvětlení zadávací dokumentace či dodatečných změn a doplnění zadávací dokumentace, poskytnutých zadavatelem. Příloha obsahuje minimálně:</w:t>
      </w:r>
    </w:p>
    <w:p w14:paraId="3B15E9D9"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seznam objektů, jejich adresy,</w:t>
      </w:r>
    </w:p>
    <w:p w14:paraId="52B8EB3E"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popis objektů a jejich charakteristika (stáří objektu, provedené rekonstrukce a modernizace s datem provedení, další údaje např. podlahová plocha, které se dotknou navržená energeticky úsporná opatření, apod.),</w:t>
      </w:r>
    </w:p>
    <w:p w14:paraId="1B259952"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popis instalovaných technologií, způsobu vytápění, větrání, chlazení, osvětlení, apod. a souvisejících zařízení,</w:t>
      </w:r>
    </w:p>
    <w:p w14:paraId="0C779291"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způsob provozování objektů a relevantní údaje o provozu,</w:t>
      </w:r>
    </w:p>
    <w:p w14:paraId="623E8BDB"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b/>
          <w:lang w:eastAsia="cs-CZ"/>
        </w:rPr>
        <w:t>referenční spotřeba paliv, vody a energie, ve formě</w:t>
      </w:r>
      <w:r w:rsidRPr="00530BBB">
        <w:rPr>
          <w:rFonts w:asciiTheme="minorHAnsi" w:hAnsiTheme="minorHAnsi" w:cstheme="minorHAnsi"/>
          <w:lang w:eastAsia="cs-CZ"/>
        </w:rPr>
        <w:t xml:space="preserve"> tabulky s referenčními hodnotami spotřeby paliv, energie a vody a nákladů na ně, podle jednotlivých objektů (viz tabulka TE údajů). Spotřeba bude rozdělena na spotřebu teplotně závislou a nezávislou,</w:t>
      </w:r>
    </w:p>
    <w:p w14:paraId="14883FD5"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ostatní provozní náklady (relevantní k předmětu plnění) v referenčním období v ročním členění – pokud jsou uvedeny,</w:t>
      </w:r>
    </w:p>
    <w:p w14:paraId="4A0577BD"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výchozí provozní podmínky, příp. „běžné“ podmínky provozování, pro jednotlivé objekty,</w:t>
      </w:r>
    </w:p>
    <w:p w14:paraId="4ECF71B0"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venkovní teplotní podmínky, při kterých bylo dosaženo referenční spotřeby paliva a energie v členění po měsících (tj. průměrné měsíční venkovní teploty a počty topných dnů v měsíci pro danou lokalitu) – bude použita Tabulka technicko-ekonomických údajů,</w:t>
      </w:r>
    </w:p>
    <w:p w14:paraId="07495996"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popis všech výchozích podmínek, které nesplňují požadované podmínky (např. nedostatečné vytápění ve výchozím stavu, apod.).</w:t>
      </w:r>
    </w:p>
    <w:p w14:paraId="23FE9182"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7820DCAC" w14:textId="77777777" w:rsidR="004702C2" w:rsidRPr="00530BBB" w:rsidRDefault="004702C2" w:rsidP="004702C2">
      <w:pPr>
        <w:pStyle w:val="Nadpis1"/>
        <w:numPr>
          <w:ilvl w:val="0"/>
          <w:numId w:val="0"/>
        </w:numPr>
        <w:rPr>
          <w:rFonts w:asciiTheme="minorHAnsi" w:hAnsiTheme="minorHAnsi" w:cstheme="minorHAnsi"/>
        </w:rPr>
      </w:pPr>
      <w:bookmarkStart w:id="1" w:name="_Toc85704328"/>
      <w:r w:rsidRPr="00530BBB">
        <w:rPr>
          <w:rFonts w:asciiTheme="minorHAnsi" w:hAnsiTheme="minorHAnsi" w:cstheme="minorHAnsi"/>
        </w:rPr>
        <w:lastRenderedPageBreak/>
        <w:t>Příloha č. 2: Popis úsporných opatření</w:t>
      </w:r>
      <w:bookmarkEnd w:id="1"/>
    </w:p>
    <w:p w14:paraId="1FBEB862"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2B451DA"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 této příloze budou po jednotlivých </w:t>
      </w:r>
      <w:r w:rsidRPr="00530BBB">
        <w:rPr>
          <w:rFonts w:asciiTheme="minorHAnsi" w:hAnsiTheme="minorHAnsi" w:cstheme="minorHAnsi"/>
          <w:b/>
          <w:bCs/>
        </w:rPr>
        <w:t xml:space="preserve">areálech či objektech </w:t>
      </w:r>
      <w:r w:rsidRPr="00530BBB">
        <w:rPr>
          <w:rFonts w:asciiTheme="minorHAnsi" w:hAnsiTheme="minorHAnsi" w:cstheme="minorHAnsi"/>
        </w:rPr>
        <w:t xml:space="preserve">specifikována </w:t>
      </w:r>
      <w:r w:rsidRPr="00530BBB">
        <w:rPr>
          <w:rFonts w:asciiTheme="minorHAnsi" w:hAnsiTheme="minorHAnsi" w:cstheme="minorHAnsi"/>
          <w:b/>
          <w:bCs/>
        </w:rPr>
        <w:t xml:space="preserve">základní opatření </w:t>
      </w:r>
      <w:r w:rsidRPr="00530BBB">
        <w:rPr>
          <w:rFonts w:asciiTheme="minorHAnsi" w:hAnsiTheme="minorHAnsi" w:cstheme="minorHAnsi"/>
        </w:rPr>
        <w:t>(dále také jen „opatření“), která v nich budou realizována. Popis opatření a jejich přínosy budou obsahovat následující podrobnosti:</w:t>
      </w:r>
    </w:p>
    <w:p w14:paraId="0AB518A0"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u w:val="single"/>
        </w:rPr>
      </w:pPr>
      <w:r w:rsidRPr="00530BBB">
        <w:rPr>
          <w:rFonts w:asciiTheme="minorHAnsi" w:hAnsiTheme="minorHAnsi" w:cstheme="minorHAnsi"/>
          <w:b/>
        </w:rPr>
        <w:t>Technický popis opatření</w:t>
      </w:r>
    </w:p>
    <w:p w14:paraId="607E727D"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tepelné energii či palivu</w:t>
      </w:r>
    </w:p>
    <w:p w14:paraId="6DFB005F"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elektrické energii</w:t>
      </w:r>
    </w:p>
    <w:p w14:paraId="514A29FB"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vodě</w:t>
      </w:r>
    </w:p>
    <w:p w14:paraId="25396A90"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ostatních provozních nákladech</w:t>
      </w:r>
    </w:p>
    <w:p w14:paraId="26B9CAC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Součástí technického popisu opatření je výše investice po dílčích opatřeních a úspora v technických jednotkách po jednotlivých formách energie a v korunách českých. Pokud nelze efekt opatření na spotřebu paliv, vody a energie oddělit, bude toto v popisu opatření odůvodněno.</w:t>
      </w:r>
    </w:p>
    <w:p w14:paraId="40A47A60" w14:textId="77777777" w:rsidR="004702C2" w:rsidRPr="00530BBB" w:rsidRDefault="004702C2" w:rsidP="004702C2">
      <w:pPr>
        <w:rPr>
          <w:rFonts w:asciiTheme="minorHAnsi" w:hAnsiTheme="minorHAnsi" w:cstheme="minorHAnsi"/>
        </w:rPr>
      </w:pPr>
    </w:p>
    <w:p w14:paraId="00F77F0F" w14:textId="77777777" w:rsidR="004702C2" w:rsidRPr="00530BBB" w:rsidRDefault="004702C2" w:rsidP="004702C2">
      <w:pPr>
        <w:pStyle w:val="Odstavecseseznamem1"/>
        <w:numPr>
          <w:ilvl w:val="0"/>
          <w:numId w:val="14"/>
        </w:numPr>
        <w:spacing w:before="0" w:after="200" w:line="276" w:lineRule="auto"/>
        <w:jc w:val="left"/>
        <w:rPr>
          <w:rFonts w:asciiTheme="minorHAnsi" w:hAnsiTheme="minorHAnsi" w:cstheme="minorHAnsi"/>
          <w:b/>
        </w:rPr>
      </w:pPr>
      <w:r w:rsidRPr="00530BBB">
        <w:rPr>
          <w:rFonts w:asciiTheme="minorHAnsi" w:hAnsiTheme="minorHAnsi" w:cstheme="minorHAnsi"/>
          <w:b/>
        </w:rPr>
        <w:t>Tabulkové výstupy</w:t>
      </w:r>
    </w:p>
    <w:p w14:paraId="31D20F2F" w14:textId="77777777" w:rsidR="004702C2" w:rsidRPr="00530BBB" w:rsidRDefault="004702C2" w:rsidP="004702C2">
      <w:pPr>
        <w:spacing w:before="240"/>
        <w:rPr>
          <w:rFonts w:asciiTheme="minorHAnsi" w:hAnsiTheme="minorHAnsi" w:cstheme="minorHAnsi"/>
          <w:u w:val="single"/>
        </w:rPr>
      </w:pPr>
      <w:r w:rsidRPr="00530BBB">
        <w:rPr>
          <w:rFonts w:asciiTheme="minorHAnsi" w:hAnsiTheme="minorHAnsi" w:cstheme="minorHAnsi"/>
          <w:u w:val="single"/>
        </w:rPr>
        <w:t>Technicko-ekonomické údaje po jednotlivých objektech/areálech</w:t>
      </w:r>
    </w:p>
    <w:p w14:paraId="629D4269"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rPr>
        <w:t>Součástí technického popisu opatření bude výše investice po dílčích opatřeních a úspora v technických jednotkách po jednotlivých formách energie a v korunách českých. Doporučujeme zpracovat ve formě tabulek pro snadnou kontrolu:</w:t>
      </w:r>
    </w:p>
    <w:p w14:paraId="46098E4C" w14:textId="77777777" w:rsidR="004702C2" w:rsidRPr="00530BBB" w:rsidRDefault="004702C2" w:rsidP="004702C2">
      <w:pPr>
        <w:pStyle w:val="Odstavecseseznamem1"/>
        <w:rPr>
          <w:rFonts w:asciiTheme="minorHAnsi" w:hAnsiTheme="minorHAnsi" w:cstheme="minorHAnsi"/>
        </w:rPr>
      </w:pPr>
    </w:p>
    <w:p w14:paraId="77A4DB2A" w14:textId="77777777" w:rsidR="004702C2" w:rsidRPr="00530BBB" w:rsidRDefault="004702C2" w:rsidP="004702C2">
      <w:pPr>
        <w:pStyle w:val="Titulek"/>
        <w:ind w:left="360"/>
        <w:rPr>
          <w:rFonts w:asciiTheme="minorHAnsi" w:hAnsiTheme="minorHAnsi" w:cstheme="minorHAnsi"/>
          <w:u w:val="single"/>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1</w:t>
      </w:r>
      <w:r w:rsidR="00B47509" w:rsidRPr="00530BBB">
        <w:rPr>
          <w:rFonts w:asciiTheme="minorHAnsi" w:hAnsiTheme="minorHAnsi" w:cstheme="minorHAnsi"/>
          <w:noProof/>
        </w:rPr>
        <w:fldChar w:fldCharType="end"/>
      </w:r>
      <w:r w:rsidRPr="00530BBB">
        <w:rPr>
          <w:rFonts w:asciiTheme="minorHAnsi" w:hAnsiTheme="minorHAnsi" w:cstheme="minorHAnsi"/>
        </w:rPr>
        <w:t>: Cena za provedení základních opatření - rozpočet</w:t>
      </w:r>
    </w:p>
    <w:tbl>
      <w:tblPr>
        <w:tblW w:w="7685"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27D5457C" w14:textId="77777777" w:rsidTr="00A03704">
        <w:tc>
          <w:tcPr>
            <w:tcW w:w="1187" w:type="dxa"/>
          </w:tcPr>
          <w:p w14:paraId="0A78C7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67C13F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71175999"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do jednotlivých opatření v Kč bez DPH</w:t>
            </w:r>
          </w:p>
        </w:tc>
      </w:tr>
      <w:tr w:rsidR="004702C2" w:rsidRPr="00530BBB" w14:paraId="0CD6A03B" w14:textId="77777777" w:rsidTr="00A03704">
        <w:tc>
          <w:tcPr>
            <w:tcW w:w="1187" w:type="dxa"/>
          </w:tcPr>
          <w:p w14:paraId="3BD7661C"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517525A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163142B8"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1</w:t>
            </w:r>
          </w:p>
        </w:tc>
        <w:tc>
          <w:tcPr>
            <w:tcW w:w="1388" w:type="dxa"/>
          </w:tcPr>
          <w:p w14:paraId="7AD94D47"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2</w:t>
            </w:r>
          </w:p>
        </w:tc>
        <w:tc>
          <w:tcPr>
            <w:tcW w:w="1388" w:type="dxa"/>
          </w:tcPr>
          <w:p w14:paraId="7D76A51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3</w:t>
            </w:r>
          </w:p>
        </w:tc>
        <w:tc>
          <w:tcPr>
            <w:tcW w:w="1388" w:type="dxa"/>
          </w:tcPr>
          <w:p w14:paraId="4BA826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279C3B41" w14:textId="77777777" w:rsidTr="00A03704">
        <w:tc>
          <w:tcPr>
            <w:tcW w:w="1187" w:type="dxa"/>
          </w:tcPr>
          <w:p w14:paraId="20CDA4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C22A9D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8D9F28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C3AB81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3B5B61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D1708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963B296" w14:textId="77777777" w:rsidTr="00A03704">
        <w:tc>
          <w:tcPr>
            <w:tcW w:w="1187" w:type="dxa"/>
          </w:tcPr>
          <w:p w14:paraId="2F99FB5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14CF4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05E0A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B79DD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92FBC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76A705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8F13566" w14:textId="77777777" w:rsidTr="00A03704">
        <w:tc>
          <w:tcPr>
            <w:tcW w:w="1187" w:type="dxa"/>
          </w:tcPr>
          <w:p w14:paraId="20C6F2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B46298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DB2FC5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686DA6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E75DB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A6B7EE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916731F" w14:textId="77777777" w:rsidTr="00A03704">
        <w:tc>
          <w:tcPr>
            <w:tcW w:w="1187" w:type="dxa"/>
          </w:tcPr>
          <w:p w14:paraId="289A41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0D854D6"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63B6E8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10C3A9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D315F6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A256EB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2D4B4F05" w14:textId="77777777" w:rsidR="004702C2" w:rsidRPr="00530BBB" w:rsidRDefault="004702C2" w:rsidP="004702C2">
      <w:pPr>
        <w:pStyle w:val="Odstavecseseznamem1"/>
        <w:rPr>
          <w:rFonts w:asciiTheme="minorHAnsi" w:hAnsiTheme="minorHAnsi" w:cstheme="minorHAnsi"/>
        </w:rPr>
      </w:pPr>
    </w:p>
    <w:p w14:paraId="3D2335BA"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2</w:t>
      </w:r>
      <w:r w:rsidR="00B47509" w:rsidRPr="00530BBB">
        <w:rPr>
          <w:rFonts w:asciiTheme="minorHAnsi" w:hAnsiTheme="minorHAnsi" w:cstheme="minorHAnsi"/>
          <w:noProof/>
        </w:rPr>
        <w:fldChar w:fldCharType="end"/>
      </w:r>
      <w:r w:rsidRPr="00530BBB">
        <w:rPr>
          <w:rFonts w:asciiTheme="minorHAnsi" w:hAnsiTheme="minorHAnsi" w:cstheme="minorHAnsi"/>
        </w:rPr>
        <w:t>: Úspora ze základních opatření – technické jednotky</w:t>
      </w:r>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7ABC0CF0" w14:textId="77777777" w:rsidTr="00A03704">
        <w:tc>
          <w:tcPr>
            <w:tcW w:w="1187" w:type="dxa"/>
          </w:tcPr>
          <w:p w14:paraId="0AD102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F513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39011CD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(GJ/rok, kWh/rok, m</w:t>
            </w:r>
            <w:r w:rsidRPr="00530BBB">
              <w:rPr>
                <w:rFonts w:asciiTheme="minorHAnsi" w:hAnsiTheme="minorHAnsi" w:cstheme="minorHAnsi"/>
                <w:vertAlign w:val="superscript"/>
                <w:lang w:eastAsia="cs-CZ"/>
              </w:rPr>
              <w:t>3</w:t>
            </w:r>
            <w:r w:rsidRPr="00530BBB">
              <w:rPr>
                <w:rFonts w:asciiTheme="minorHAnsi" w:hAnsiTheme="minorHAnsi" w:cstheme="minorHAnsi"/>
                <w:lang w:eastAsia="cs-CZ"/>
              </w:rPr>
              <w:t>/rok)</w:t>
            </w:r>
          </w:p>
        </w:tc>
      </w:tr>
      <w:tr w:rsidR="004702C2" w:rsidRPr="00530BBB" w14:paraId="7B732C8B" w14:textId="77777777" w:rsidTr="00A03704">
        <w:tc>
          <w:tcPr>
            <w:tcW w:w="1187" w:type="dxa"/>
          </w:tcPr>
          <w:p w14:paraId="1B49532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6708556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45C09CB8"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1</w:t>
            </w:r>
          </w:p>
        </w:tc>
        <w:tc>
          <w:tcPr>
            <w:tcW w:w="1388" w:type="dxa"/>
          </w:tcPr>
          <w:p w14:paraId="09490BF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2</w:t>
            </w:r>
          </w:p>
        </w:tc>
        <w:tc>
          <w:tcPr>
            <w:tcW w:w="1388" w:type="dxa"/>
          </w:tcPr>
          <w:p w14:paraId="525C193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3</w:t>
            </w:r>
          </w:p>
        </w:tc>
        <w:tc>
          <w:tcPr>
            <w:tcW w:w="1388" w:type="dxa"/>
          </w:tcPr>
          <w:p w14:paraId="3240CFD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2B427C7" w14:textId="77777777" w:rsidTr="00A03704">
        <w:tc>
          <w:tcPr>
            <w:tcW w:w="1187" w:type="dxa"/>
          </w:tcPr>
          <w:p w14:paraId="0C80D9D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631E4F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032AE6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EAC9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D49A90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DE76FA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E269664" w14:textId="77777777" w:rsidTr="00A03704">
        <w:tc>
          <w:tcPr>
            <w:tcW w:w="1187" w:type="dxa"/>
          </w:tcPr>
          <w:p w14:paraId="2466AE4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2396B8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FDE222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7D140C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1AE1F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FF5A77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C2EC1DB" w14:textId="77777777" w:rsidTr="00A03704">
        <w:tc>
          <w:tcPr>
            <w:tcW w:w="1187" w:type="dxa"/>
          </w:tcPr>
          <w:p w14:paraId="49642E1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234988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71941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EE6516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4CEF3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5AB0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B3304D2" w14:textId="77777777" w:rsidTr="00A03704">
        <w:tc>
          <w:tcPr>
            <w:tcW w:w="1187" w:type="dxa"/>
          </w:tcPr>
          <w:p w14:paraId="48CF9F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60150A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231DF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E50E5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08790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B71F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0F4CA41D" w14:textId="77777777" w:rsidR="004702C2" w:rsidRPr="00530BBB" w:rsidRDefault="004702C2" w:rsidP="004702C2">
      <w:pPr>
        <w:pStyle w:val="Titulek"/>
        <w:ind w:left="360"/>
        <w:rPr>
          <w:rFonts w:asciiTheme="minorHAnsi" w:hAnsiTheme="minorHAnsi" w:cstheme="minorHAnsi"/>
        </w:rPr>
      </w:pPr>
    </w:p>
    <w:p w14:paraId="0A40AC61"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3</w:t>
      </w:r>
      <w:r w:rsidR="00B47509" w:rsidRPr="00530BBB">
        <w:rPr>
          <w:rFonts w:asciiTheme="minorHAnsi" w:hAnsiTheme="minorHAnsi" w:cstheme="minorHAnsi"/>
          <w:noProof/>
        </w:rPr>
        <w:fldChar w:fldCharType="end"/>
      </w:r>
      <w:r w:rsidRPr="00530BBB">
        <w:rPr>
          <w:rFonts w:asciiTheme="minorHAnsi" w:hAnsiTheme="minorHAnsi" w:cstheme="minorHAnsi"/>
        </w:rPr>
        <w:t>: Úspora ze základních opatření - rozpočet</w:t>
      </w:r>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0F08B5C7" w14:textId="77777777" w:rsidTr="00A03704">
        <w:tc>
          <w:tcPr>
            <w:tcW w:w="1187" w:type="dxa"/>
          </w:tcPr>
          <w:p w14:paraId="6E21AF6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D53A63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2D1B654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v Kč bez DPH</w:t>
            </w:r>
          </w:p>
        </w:tc>
      </w:tr>
      <w:tr w:rsidR="004702C2" w:rsidRPr="00530BBB" w14:paraId="3C5071BB" w14:textId="77777777" w:rsidTr="00A03704">
        <w:tc>
          <w:tcPr>
            <w:tcW w:w="1187" w:type="dxa"/>
          </w:tcPr>
          <w:p w14:paraId="5C323F2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lastRenderedPageBreak/>
              <w:t>objekt</w:t>
            </w:r>
          </w:p>
        </w:tc>
        <w:tc>
          <w:tcPr>
            <w:tcW w:w="1099" w:type="dxa"/>
          </w:tcPr>
          <w:p w14:paraId="0EAC926F"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0D7A5DB5"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1</w:t>
            </w:r>
          </w:p>
        </w:tc>
        <w:tc>
          <w:tcPr>
            <w:tcW w:w="1388" w:type="dxa"/>
          </w:tcPr>
          <w:p w14:paraId="2A6990C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2</w:t>
            </w:r>
          </w:p>
        </w:tc>
        <w:tc>
          <w:tcPr>
            <w:tcW w:w="1388" w:type="dxa"/>
          </w:tcPr>
          <w:p w14:paraId="2EE388E5"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Opatř. 3</w:t>
            </w:r>
          </w:p>
        </w:tc>
        <w:tc>
          <w:tcPr>
            <w:tcW w:w="1388" w:type="dxa"/>
          </w:tcPr>
          <w:p w14:paraId="6A077CE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0A390578" w14:textId="77777777" w:rsidTr="00A03704">
        <w:tc>
          <w:tcPr>
            <w:tcW w:w="1187" w:type="dxa"/>
          </w:tcPr>
          <w:p w14:paraId="7527E06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5D8EEF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E53627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F4B9E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A8BE05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32AC0F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6CFCEE7B" w14:textId="77777777" w:rsidTr="00A03704">
        <w:tc>
          <w:tcPr>
            <w:tcW w:w="1187" w:type="dxa"/>
          </w:tcPr>
          <w:p w14:paraId="48938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DF8607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C9963D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397E1D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4BF811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1C851F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E5319D" w14:textId="77777777" w:rsidTr="00A03704">
        <w:tc>
          <w:tcPr>
            <w:tcW w:w="1187" w:type="dxa"/>
          </w:tcPr>
          <w:p w14:paraId="3E55D3A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7DA587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25D971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B7B67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83652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7024A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48971B" w14:textId="77777777" w:rsidTr="00A03704">
        <w:tc>
          <w:tcPr>
            <w:tcW w:w="1187" w:type="dxa"/>
          </w:tcPr>
          <w:p w14:paraId="2CAD18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79280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A680EE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510D7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21C1E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C7710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34D98DB3"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Všechny tabulky </w:t>
      </w:r>
      <w:r w:rsidRPr="00E93AB4">
        <w:rPr>
          <w:rFonts w:asciiTheme="minorHAnsi" w:hAnsiTheme="minorHAnsi" w:cstheme="minorHAnsi"/>
          <w:i/>
          <w:iCs/>
          <w:highlight w:val="yellow"/>
        </w:rPr>
        <w:t>doplní ESCO</w:t>
      </w:r>
    </w:p>
    <w:p w14:paraId="191DC9EC" w14:textId="2DA927D0" w:rsidR="004702C2" w:rsidRPr="00530BBB" w:rsidRDefault="004702C2" w:rsidP="004702C2">
      <w:pPr>
        <w:rPr>
          <w:rFonts w:asciiTheme="minorHAnsi" w:hAnsiTheme="minorHAnsi" w:cstheme="minorHAnsi"/>
          <w:u w:val="single"/>
        </w:rPr>
      </w:pPr>
      <w:r w:rsidRPr="00530BBB">
        <w:rPr>
          <w:rFonts w:asciiTheme="minorHAnsi" w:hAnsiTheme="minorHAnsi" w:cstheme="minorHAnsi"/>
          <w:u w:val="single"/>
        </w:rPr>
        <w:t xml:space="preserve">Souhrn technicko-ekonomických výstupů </w:t>
      </w:r>
      <w:r w:rsidR="00C5149E">
        <w:rPr>
          <w:rFonts w:asciiTheme="minorHAnsi" w:hAnsiTheme="minorHAnsi" w:cstheme="minorHAnsi"/>
          <w:u w:val="single"/>
        </w:rPr>
        <w:t>akce</w:t>
      </w:r>
    </w:p>
    <w:p w14:paraId="26D81790" w14:textId="4D691FEB"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Požadavkem zadávací dokumentace je souhrnná tabulka technicko-ekonomických ukazatelů </w:t>
      </w:r>
      <w:r w:rsidR="00C5149E">
        <w:rPr>
          <w:rFonts w:asciiTheme="minorHAnsi" w:hAnsiTheme="minorHAnsi" w:cstheme="minorHAnsi"/>
        </w:rPr>
        <w:t>akce</w:t>
      </w:r>
      <w:r w:rsidRPr="00530BBB">
        <w:rPr>
          <w:rFonts w:asciiTheme="minorHAnsi" w:hAnsiTheme="minorHAnsi" w:cstheme="minorHAnsi"/>
        </w:rPr>
        <w:t>. V souhrnné tabulce bude podle jednotlivých objektů uvedena celková investice a úspory po jednotlivých formách paliv a energie a úspora v nákladech na jednotlivé formy energie a ostatních provozních nákladů:</w:t>
      </w:r>
    </w:p>
    <w:p w14:paraId="4B0CA4F6" w14:textId="77777777" w:rsidR="004702C2" w:rsidRPr="00530BBB" w:rsidRDefault="004702C2" w:rsidP="004702C2">
      <w:pPr>
        <w:ind w:left="360"/>
        <w:rPr>
          <w:rFonts w:asciiTheme="minorHAnsi" w:hAnsiTheme="minorHAnsi" w:cstheme="minorHAnsi"/>
        </w:rPr>
      </w:pPr>
    </w:p>
    <w:p w14:paraId="3F214D4E" w14:textId="77777777" w:rsidR="004702C2" w:rsidRPr="00530BBB" w:rsidRDefault="004702C2" w:rsidP="004702C2">
      <w:pPr>
        <w:pStyle w:val="Titulek"/>
        <w:keepNext/>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4</w:t>
      </w:r>
      <w:r w:rsidR="00B47509" w:rsidRPr="00530BBB">
        <w:rPr>
          <w:rFonts w:asciiTheme="minorHAnsi" w:hAnsiTheme="minorHAnsi" w:cstheme="minorHAnsi"/>
          <w:noProof/>
        </w:rPr>
        <w:fldChar w:fldCharType="end"/>
      </w:r>
      <w:r w:rsidRPr="00530BBB">
        <w:rPr>
          <w:rFonts w:asciiTheme="minorHAnsi" w:hAnsiTheme="minorHAnsi" w:cstheme="minorHAnsi"/>
        </w:rPr>
        <w:t>: Souhrn technicko - ekonomických údajů – část 1</w:t>
      </w:r>
    </w:p>
    <w:tbl>
      <w:tblPr>
        <w:tblW w:w="8023"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80"/>
        <w:gridCol w:w="1026"/>
        <w:gridCol w:w="1174"/>
        <w:gridCol w:w="1174"/>
        <w:gridCol w:w="734"/>
        <w:gridCol w:w="881"/>
        <w:gridCol w:w="1174"/>
        <w:gridCol w:w="880"/>
      </w:tblGrid>
      <w:tr w:rsidR="009C0752" w:rsidRPr="00530BBB" w14:paraId="21B874F9" w14:textId="77777777" w:rsidTr="009C0752">
        <w:tc>
          <w:tcPr>
            <w:tcW w:w="980" w:type="dxa"/>
            <w:vMerge w:val="restart"/>
          </w:tcPr>
          <w:p w14:paraId="7B9F7E4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26" w:type="dxa"/>
            <w:vMerge w:val="restart"/>
          </w:tcPr>
          <w:p w14:paraId="30BD4F6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174" w:type="dxa"/>
            <w:vMerge w:val="restart"/>
          </w:tcPr>
          <w:p w14:paraId="699CE16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celkem</w:t>
            </w:r>
          </w:p>
        </w:tc>
        <w:tc>
          <w:tcPr>
            <w:tcW w:w="1174" w:type="dxa"/>
            <w:vMerge w:val="restart"/>
          </w:tcPr>
          <w:p w14:paraId="2EE53C5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výčet opatření</w:t>
            </w:r>
          </w:p>
        </w:tc>
        <w:tc>
          <w:tcPr>
            <w:tcW w:w="3669" w:type="dxa"/>
            <w:gridSpan w:val="4"/>
          </w:tcPr>
          <w:p w14:paraId="2B48C4F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v technických jednotkách</w:t>
            </w:r>
          </w:p>
        </w:tc>
      </w:tr>
      <w:tr w:rsidR="009C0752" w:rsidRPr="00530BBB" w14:paraId="57611BAE" w14:textId="77777777" w:rsidTr="009C0752">
        <w:tc>
          <w:tcPr>
            <w:tcW w:w="980" w:type="dxa"/>
            <w:vMerge/>
          </w:tcPr>
          <w:p w14:paraId="3C6C2E0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vMerge/>
          </w:tcPr>
          <w:p w14:paraId="1D2DA306"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vMerge/>
          </w:tcPr>
          <w:p w14:paraId="7AD3DBAB"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vMerge/>
          </w:tcPr>
          <w:p w14:paraId="6EF636C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76A07C8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palivo</w:t>
            </w:r>
          </w:p>
        </w:tc>
        <w:tc>
          <w:tcPr>
            <w:tcW w:w="881" w:type="dxa"/>
          </w:tcPr>
          <w:p w14:paraId="05D754F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174" w:type="dxa"/>
          </w:tcPr>
          <w:p w14:paraId="30E43C1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880" w:type="dxa"/>
          </w:tcPr>
          <w:p w14:paraId="3EE0F699"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r>
      <w:tr w:rsidR="009C0752" w:rsidRPr="00530BBB" w14:paraId="6E0DF555" w14:textId="77777777" w:rsidTr="009C0752">
        <w:tc>
          <w:tcPr>
            <w:tcW w:w="980" w:type="dxa"/>
          </w:tcPr>
          <w:p w14:paraId="436FC2B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318DE4E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2B929C5A"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140F02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2349DBB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637EC34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115BBA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09CBE49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84A9F7C" w14:textId="77777777" w:rsidTr="009C0752">
        <w:tc>
          <w:tcPr>
            <w:tcW w:w="980" w:type="dxa"/>
          </w:tcPr>
          <w:p w14:paraId="2889B4B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45E6AD9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D9F57C5"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372682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47115DE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004B5AC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65E7510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761D2CB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88028EF" w14:textId="77777777" w:rsidTr="009C0752">
        <w:tc>
          <w:tcPr>
            <w:tcW w:w="980" w:type="dxa"/>
          </w:tcPr>
          <w:p w14:paraId="41D53AE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2C40939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446BF1F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7B9524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5B97350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52D949D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74F1CAB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7AF9B42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5E4F4B3" w14:textId="77777777" w:rsidTr="009C0752">
        <w:tc>
          <w:tcPr>
            <w:tcW w:w="980" w:type="dxa"/>
          </w:tcPr>
          <w:p w14:paraId="47AF35A9"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27AA704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50A161FA"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4720B83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4D4928A5"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0AA9210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564D04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5796F94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48B80B49" w14:textId="77777777" w:rsidTr="009C0752">
        <w:tc>
          <w:tcPr>
            <w:tcW w:w="980" w:type="dxa"/>
          </w:tcPr>
          <w:p w14:paraId="4B8C58C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026" w:type="dxa"/>
          </w:tcPr>
          <w:p w14:paraId="6237D89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37DC99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5BC4D30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28E18E9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7028DE4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6AE4EB7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6B2A16C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bl>
    <w:p w14:paraId="5795BE45" w14:textId="77777777" w:rsidR="004702C2" w:rsidRPr="00530BBB" w:rsidRDefault="004702C2" w:rsidP="004702C2">
      <w:pPr>
        <w:pStyle w:val="Odstavecseseznamem1"/>
        <w:rPr>
          <w:rFonts w:asciiTheme="minorHAnsi" w:hAnsiTheme="minorHAnsi" w:cstheme="minorHAnsi"/>
          <w:u w:val="single"/>
        </w:rPr>
      </w:pPr>
    </w:p>
    <w:p w14:paraId="26B1333C"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5</w:t>
      </w:r>
      <w:r w:rsidR="00B47509" w:rsidRPr="00530BBB">
        <w:rPr>
          <w:rFonts w:asciiTheme="minorHAnsi" w:hAnsiTheme="minorHAnsi" w:cstheme="minorHAnsi"/>
          <w:noProof/>
        </w:rPr>
        <w:fldChar w:fldCharType="end"/>
      </w:r>
      <w:r w:rsidRPr="00530BBB">
        <w:rPr>
          <w:rFonts w:asciiTheme="minorHAnsi" w:hAnsiTheme="minorHAnsi" w:cstheme="minorHAnsi"/>
        </w:rPr>
        <w:t>: Pokračování tabulky - Souhrn technicko - ekonomických údajů – část 2</w:t>
      </w:r>
    </w:p>
    <w:tbl>
      <w:tblPr>
        <w:tblW w:w="801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106"/>
        <w:gridCol w:w="1102"/>
        <w:gridCol w:w="878"/>
        <w:gridCol w:w="774"/>
        <w:gridCol w:w="1238"/>
        <w:gridCol w:w="928"/>
        <w:gridCol w:w="993"/>
        <w:gridCol w:w="993"/>
      </w:tblGrid>
      <w:tr w:rsidR="004702C2" w:rsidRPr="00530BBB" w14:paraId="50504119" w14:textId="77777777" w:rsidTr="00A03704">
        <w:tc>
          <w:tcPr>
            <w:tcW w:w="1106" w:type="dxa"/>
          </w:tcPr>
          <w:p w14:paraId="77075A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701FAC6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804" w:type="dxa"/>
            <w:gridSpan w:val="6"/>
          </w:tcPr>
          <w:p w14:paraId="0A25343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 xml:space="preserve">úspora v Kč </w:t>
            </w:r>
          </w:p>
        </w:tc>
      </w:tr>
      <w:tr w:rsidR="004702C2" w:rsidRPr="00530BBB" w14:paraId="63BA60DC" w14:textId="77777777" w:rsidTr="00A03704">
        <w:tc>
          <w:tcPr>
            <w:tcW w:w="1106" w:type="dxa"/>
          </w:tcPr>
          <w:p w14:paraId="31DE3B3E"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102" w:type="dxa"/>
          </w:tcPr>
          <w:p w14:paraId="3593873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878" w:type="dxa"/>
          </w:tcPr>
          <w:p w14:paraId="77B77D68" w14:textId="35258BFE" w:rsidR="004702C2" w:rsidRPr="00530BBB" w:rsidRDefault="009C0752" w:rsidP="00A03704">
            <w:pPr>
              <w:pStyle w:val="Odstavecseseznamem1"/>
              <w:spacing w:before="0"/>
              <w:ind w:left="0"/>
              <w:jc w:val="left"/>
              <w:rPr>
                <w:rFonts w:asciiTheme="minorHAnsi" w:hAnsiTheme="minorHAnsi" w:cstheme="minorHAnsi"/>
                <w:lang w:eastAsia="cs-CZ"/>
              </w:rPr>
            </w:pPr>
            <w:r>
              <w:rPr>
                <w:rFonts w:asciiTheme="minorHAnsi" w:hAnsiTheme="minorHAnsi" w:cstheme="minorHAnsi"/>
                <w:lang w:eastAsia="cs-CZ"/>
              </w:rPr>
              <w:t>p</w:t>
            </w:r>
            <w:r w:rsidR="004702C2" w:rsidRPr="00530BBB">
              <w:rPr>
                <w:rFonts w:asciiTheme="minorHAnsi" w:hAnsiTheme="minorHAnsi" w:cstheme="minorHAnsi"/>
                <w:lang w:eastAsia="cs-CZ"/>
              </w:rPr>
              <w:t>alivo</w:t>
            </w:r>
          </w:p>
        </w:tc>
        <w:tc>
          <w:tcPr>
            <w:tcW w:w="774" w:type="dxa"/>
          </w:tcPr>
          <w:p w14:paraId="5552E79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238" w:type="dxa"/>
          </w:tcPr>
          <w:p w14:paraId="688C03A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928" w:type="dxa"/>
          </w:tcPr>
          <w:p w14:paraId="5E749EB7"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c>
          <w:tcPr>
            <w:tcW w:w="993" w:type="dxa"/>
          </w:tcPr>
          <w:p w14:paraId="3AF9C12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ostatní náklady</w:t>
            </w:r>
          </w:p>
        </w:tc>
        <w:tc>
          <w:tcPr>
            <w:tcW w:w="993" w:type="dxa"/>
          </w:tcPr>
          <w:p w14:paraId="1A73B38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4E7AD71" w14:textId="77777777" w:rsidTr="00A03704">
        <w:tc>
          <w:tcPr>
            <w:tcW w:w="1106" w:type="dxa"/>
          </w:tcPr>
          <w:p w14:paraId="0022C19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5068DC3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61D55C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515A359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0CC64DE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EA84AC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94A5BD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4B0FD0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5735F42A" w14:textId="77777777" w:rsidTr="00A03704">
        <w:tc>
          <w:tcPr>
            <w:tcW w:w="1106" w:type="dxa"/>
          </w:tcPr>
          <w:p w14:paraId="16F58ED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65765A5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0874EC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08A7F18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DEA86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1927E2D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2A3670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57E3EA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559DC40" w14:textId="77777777" w:rsidTr="00A03704">
        <w:tc>
          <w:tcPr>
            <w:tcW w:w="1106" w:type="dxa"/>
          </w:tcPr>
          <w:p w14:paraId="4BE4E04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267BCD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7692B6B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5787FB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AC9803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0F481F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5CE135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6C1D6C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445159D" w14:textId="77777777" w:rsidTr="00A03704">
        <w:tc>
          <w:tcPr>
            <w:tcW w:w="1106" w:type="dxa"/>
          </w:tcPr>
          <w:p w14:paraId="3363471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02A9F30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4CDE031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C28E96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48904F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6359A91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1B91E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35D480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42ECB69" w14:textId="77777777" w:rsidTr="00A03704">
        <w:tc>
          <w:tcPr>
            <w:tcW w:w="1106" w:type="dxa"/>
          </w:tcPr>
          <w:p w14:paraId="595AF0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102" w:type="dxa"/>
          </w:tcPr>
          <w:p w14:paraId="10C5FE2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16B5053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399645B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54FDF19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D2A4C2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AB953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2B711B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123E2449"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rPr>
      </w:pPr>
      <w:r w:rsidRPr="00530BBB">
        <w:rPr>
          <w:rFonts w:asciiTheme="minorHAnsi" w:hAnsiTheme="minorHAnsi" w:cstheme="minorHAnsi"/>
          <w:b/>
        </w:rPr>
        <w:t>Požadavky na provedení komplexní zkoušky</w:t>
      </w:r>
    </w:p>
    <w:p w14:paraId="7502AD4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Jak uvádí Smlouva, článek 7, Komplexní zkoušky, před předáním bude provedením komplexních zkoušek prokázáno, že základní opatření byla provedena ze strany ESCO řádně. Případné požadavky na prováděné komplexní zkoušky budou uvedeny v této příloze.</w:t>
      </w:r>
    </w:p>
    <w:p w14:paraId="02BE75CE"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5FBA20CC" w14:textId="77777777" w:rsidR="004702C2" w:rsidRPr="00530BBB" w:rsidRDefault="004702C2" w:rsidP="004702C2">
      <w:pPr>
        <w:pStyle w:val="Nadpis1"/>
        <w:numPr>
          <w:ilvl w:val="0"/>
          <w:numId w:val="0"/>
        </w:numPr>
        <w:spacing w:before="120"/>
        <w:rPr>
          <w:rFonts w:asciiTheme="minorHAnsi" w:hAnsiTheme="minorHAnsi" w:cstheme="minorHAnsi"/>
        </w:rPr>
      </w:pPr>
      <w:bookmarkStart w:id="2" w:name="_Toc85704329"/>
      <w:r w:rsidRPr="00530BBB">
        <w:rPr>
          <w:rFonts w:asciiTheme="minorHAnsi" w:hAnsiTheme="minorHAnsi" w:cstheme="minorHAnsi"/>
        </w:rPr>
        <w:lastRenderedPageBreak/>
        <w:t>Příloha č. 3: Cena a její úhrada</w:t>
      </w:r>
      <w:bookmarkEnd w:id="2"/>
    </w:p>
    <w:p w14:paraId="02891E76"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61625202" w14:textId="54FA4D8A"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 Příloze č. 3 bude v návaznosti na Článek 17 Smlouvy uvedena cena </w:t>
      </w:r>
      <w:r w:rsidR="00C5149E">
        <w:rPr>
          <w:rFonts w:asciiTheme="minorHAnsi" w:hAnsiTheme="minorHAnsi" w:cstheme="minorHAnsi"/>
        </w:rPr>
        <w:t>akce</w:t>
      </w:r>
      <w:r w:rsidR="00C5149E" w:rsidRPr="00530BBB">
        <w:rPr>
          <w:rFonts w:asciiTheme="minorHAnsi" w:hAnsiTheme="minorHAnsi" w:cstheme="minorHAnsi"/>
        </w:rPr>
        <w:t xml:space="preserve"> </w:t>
      </w:r>
      <w:r w:rsidRPr="00530BBB">
        <w:rPr>
          <w:rFonts w:asciiTheme="minorHAnsi" w:hAnsiTheme="minorHAnsi" w:cstheme="minorHAnsi"/>
        </w:rPr>
        <w:t>EPC v podrobnějším členění. Cena bude uvedena po jednotlivých položkách v souladu s následujícími pokyny:</w:t>
      </w:r>
    </w:p>
    <w:p w14:paraId="13F0F8F7"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provedení základních opatření:</w:t>
      </w:r>
    </w:p>
    <w:p w14:paraId="1E8BC4DE"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provedení základních opatření bude uvedena po jednotlivých objektech a v objektech dále podle jednotlivých opatření – jako hrubý položkový rozpočet.</w:t>
      </w:r>
    </w:p>
    <w:p w14:paraId="730C47C5"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a včetně DPH a bude u ní uvedena hodnota DPH (s uvedením výše DPH v %).</w:t>
      </w:r>
    </w:p>
    <w:p w14:paraId="280727BD"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energetický management</w:t>
      </w:r>
    </w:p>
    <w:p w14:paraId="358C4691"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energetický management bude uvedena jako roční a celková. Popis a obsah energetického managementu bude uveden v Příloze č. 7.</w:t>
      </w:r>
    </w:p>
    <w:p w14:paraId="3B682347" w14:textId="6F33A4D7" w:rsidR="004702C2" w:rsidRPr="006D6E47" w:rsidRDefault="004702C2" w:rsidP="006D6E47">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DPH (s uvedením výše DPH v %), cena včetně DPH.</w:t>
      </w:r>
    </w:p>
    <w:p w14:paraId="251E1CF5"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0F49A565" w14:textId="217D98CD" w:rsidR="004702C2" w:rsidRPr="00530BBB" w:rsidRDefault="004702C2" w:rsidP="004702C2">
      <w:pPr>
        <w:pStyle w:val="Nadpis1"/>
        <w:numPr>
          <w:ilvl w:val="0"/>
          <w:numId w:val="0"/>
        </w:numPr>
        <w:rPr>
          <w:rFonts w:asciiTheme="minorHAnsi" w:hAnsiTheme="minorHAnsi" w:cstheme="minorHAnsi"/>
        </w:rPr>
      </w:pPr>
      <w:bookmarkStart w:id="3" w:name="_Toc85704330"/>
      <w:r w:rsidRPr="00530BBB">
        <w:rPr>
          <w:rFonts w:asciiTheme="minorHAnsi" w:hAnsiTheme="minorHAnsi" w:cstheme="minorHAnsi"/>
        </w:rPr>
        <w:lastRenderedPageBreak/>
        <w:t xml:space="preserve">Příloha č. 4: Harmonogram realizace </w:t>
      </w:r>
      <w:bookmarkEnd w:id="3"/>
      <w:r w:rsidR="00E663E3">
        <w:rPr>
          <w:rFonts w:asciiTheme="minorHAnsi" w:hAnsiTheme="minorHAnsi" w:cstheme="minorHAnsi"/>
        </w:rPr>
        <w:t>akce</w:t>
      </w:r>
    </w:p>
    <w:p w14:paraId="175AC49F"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1035D2B1" w14:textId="5A8853C5"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Bude uveden hrubý harmonogram </w:t>
      </w:r>
      <w:r w:rsidR="001C4B31">
        <w:rPr>
          <w:rFonts w:asciiTheme="minorHAnsi" w:hAnsiTheme="minorHAnsi" w:cstheme="minorHAnsi"/>
        </w:rPr>
        <w:t xml:space="preserve">– </w:t>
      </w:r>
      <w:r w:rsidRPr="00530BBB">
        <w:rPr>
          <w:rFonts w:asciiTheme="minorHAnsi" w:hAnsiTheme="minorHAnsi" w:cstheme="minorHAnsi"/>
        </w:rPr>
        <w:t>časový postup realizace celé</w:t>
      </w:r>
      <w:r w:rsidR="00E663E3">
        <w:rPr>
          <w:rFonts w:asciiTheme="minorHAnsi" w:hAnsiTheme="minorHAnsi" w:cstheme="minorHAnsi"/>
        </w:rPr>
        <w:t xml:space="preserve"> akce </w:t>
      </w:r>
      <w:r w:rsidRPr="00530BBB">
        <w:rPr>
          <w:rFonts w:asciiTheme="minorHAnsi" w:hAnsiTheme="minorHAnsi" w:cstheme="minorHAnsi"/>
        </w:rPr>
        <w:t>provádění základních investičních opatření – základní harmonogram poskytování služeb minimálně v členění na:</w:t>
      </w:r>
    </w:p>
    <w:p w14:paraId="7BE09C5A" w14:textId="4627BF1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 předběžné činnosti (ověření stavu využití energií v</w:t>
      </w:r>
      <w:r w:rsidR="009C0752">
        <w:rPr>
          <w:rFonts w:asciiTheme="minorHAnsi" w:hAnsiTheme="minorHAnsi" w:cstheme="minorHAnsi"/>
          <w:lang w:eastAsia="cs-CZ"/>
        </w:rPr>
        <w:t> </w:t>
      </w:r>
      <w:r w:rsidRPr="00530BBB">
        <w:rPr>
          <w:rFonts w:asciiTheme="minorHAnsi" w:hAnsiTheme="minorHAnsi" w:cstheme="minorHAnsi"/>
          <w:lang w:eastAsia="cs-CZ"/>
        </w:rPr>
        <w:t>objektech</w:t>
      </w:r>
      <w:r w:rsidR="009C0752">
        <w:rPr>
          <w:rFonts w:asciiTheme="minorHAnsi" w:hAnsiTheme="minorHAnsi" w:cstheme="minorHAnsi"/>
          <w:lang w:eastAsia="cs-CZ"/>
        </w:rPr>
        <w:t>, zpracování projektové dokumentace</w:t>
      </w:r>
      <w:r w:rsidRPr="00530BBB">
        <w:rPr>
          <w:rFonts w:asciiTheme="minorHAnsi" w:hAnsiTheme="minorHAnsi" w:cstheme="minorHAnsi"/>
          <w:lang w:eastAsia="cs-CZ"/>
        </w:rPr>
        <w:t>);</w:t>
      </w:r>
    </w:p>
    <w:p w14:paraId="72DB108B" w14:textId="7777777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 provedení základních opatření;</w:t>
      </w:r>
    </w:p>
    <w:p w14:paraId="59169B68" w14:textId="26B655B1"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III.: poskytování garance</w:t>
      </w:r>
      <w:r w:rsidR="001C4B31">
        <w:rPr>
          <w:rFonts w:asciiTheme="minorHAnsi" w:hAnsiTheme="minorHAnsi" w:cstheme="minorHAnsi"/>
          <w:lang w:eastAsia="cs-CZ"/>
        </w:rPr>
        <w:t xml:space="preserve"> (doba garance)</w:t>
      </w:r>
      <w:r w:rsidRPr="00530BBB">
        <w:rPr>
          <w:rFonts w:asciiTheme="minorHAnsi" w:hAnsiTheme="minorHAnsi" w:cstheme="minorHAnsi"/>
          <w:lang w:eastAsia="cs-CZ"/>
        </w:rPr>
        <w:t>.</w:t>
      </w:r>
    </w:p>
    <w:p w14:paraId="5354C8CF" w14:textId="77777777" w:rsidR="004702C2" w:rsidRPr="00530BBB" w:rsidRDefault="004702C2" w:rsidP="004702C2">
      <w:pPr>
        <w:rPr>
          <w:rFonts w:asciiTheme="minorHAnsi" w:hAnsiTheme="minorHAnsi" w:cstheme="minorHAnsi"/>
        </w:rPr>
      </w:pPr>
    </w:p>
    <w:p w14:paraId="76A899D8" w14:textId="77777777" w:rsidR="004702C2" w:rsidRPr="00530BBB" w:rsidRDefault="004702C2" w:rsidP="004702C2">
      <w:pPr>
        <w:rPr>
          <w:rFonts w:asciiTheme="minorHAnsi" w:hAnsiTheme="minorHAnsi" w:cstheme="minorHAnsi"/>
          <w:i/>
        </w:rPr>
      </w:pPr>
      <w:r w:rsidRPr="00530BBB">
        <w:rPr>
          <w:rFonts w:asciiTheme="minorHAnsi" w:hAnsiTheme="minorHAnsi" w:cstheme="minorHAnsi"/>
          <w:i/>
        </w:rPr>
        <w:t>Poznámka:</w:t>
      </w:r>
    </w:p>
    <w:p w14:paraId="3D22DBD8" w14:textId="3B02A1AE" w:rsidR="004702C2" w:rsidRPr="00530BBB" w:rsidRDefault="004702C2" w:rsidP="004702C2">
      <w:pPr>
        <w:rPr>
          <w:rFonts w:asciiTheme="minorHAnsi" w:hAnsiTheme="minorHAnsi" w:cstheme="minorHAnsi"/>
          <w:i/>
        </w:rPr>
      </w:pPr>
      <w:r w:rsidRPr="00530BBB">
        <w:rPr>
          <w:rFonts w:asciiTheme="minorHAnsi" w:hAnsiTheme="minorHAnsi" w:cstheme="minorHAnsi"/>
          <w:i/>
        </w:rPr>
        <w:t xml:space="preserve">Podrobný harmonogram bude vypracován a upřesňován v průběhu realizace </w:t>
      </w:r>
      <w:r w:rsidR="00E663E3">
        <w:rPr>
          <w:rFonts w:asciiTheme="minorHAnsi" w:hAnsiTheme="minorHAnsi" w:cstheme="minorHAnsi"/>
          <w:i/>
        </w:rPr>
        <w:t>akce</w:t>
      </w:r>
      <w:r w:rsidRPr="00530BBB">
        <w:rPr>
          <w:rFonts w:asciiTheme="minorHAnsi" w:hAnsiTheme="minorHAnsi" w:cstheme="minorHAnsi"/>
          <w:i/>
        </w:rPr>
        <w:t>, výše uvedený základní harmonogram musí být dodržen.</w:t>
      </w:r>
    </w:p>
    <w:p w14:paraId="7D58C85A" w14:textId="77777777" w:rsidR="004702C2" w:rsidRPr="00530BBB" w:rsidRDefault="004702C2" w:rsidP="004702C2">
      <w:pPr>
        <w:spacing w:before="0" w:line="240" w:lineRule="auto"/>
        <w:jc w:val="left"/>
        <w:rPr>
          <w:rFonts w:asciiTheme="minorHAnsi" w:hAnsiTheme="minorHAnsi" w:cstheme="minorHAnsi"/>
          <w:i/>
        </w:rPr>
      </w:pPr>
      <w:r w:rsidRPr="00530BBB">
        <w:rPr>
          <w:rFonts w:asciiTheme="minorHAnsi" w:hAnsiTheme="minorHAnsi" w:cstheme="minorHAnsi"/>
          <w:i/>
        </w:rPr>
        <w:br w:type="page"/>
      </w:r>
    </w:p>
    <w:p w14:paraId="520B318F" w14:textId="77777777" w:rsidR="004702C2" w:rsidRPr="00530BBB" w:rsidRDefault="004702C2" w:rsidP="004702C2">
      <w:pPr>
        <w:pStyle w:val="Nadpis1"/>
        <w:numPr>
          <w:ilvl w:val="0"/>
          <w:numId w:val="0"/>
        </w:numPr>
        <w:rPr>
          <w:rFonts w:asciiTheme="minorHAnsi" w:hAnsiTheme="minorHAnsi" w:cstheme="minorHAnsi"/>
        </w:rPr>
      </w:pPr>
      <w:bookmarkStart w:id="4" w:name="_Toc85704331"/>
      <w:r w:rsidRPr="00530BBB">
        <w:rPr>
          <w:rFonts w:asciiTheme="minorHAnsi" w:hAnsiTheme="minorHAnsi" w:cstheme="minorHAnsi"/>
        </w:rPr>
        <w:lastRenderedPageBreak/>
        <w:t>Příloha č. 5: Výše garantované úspory</w:t>
      </w:r>
      <w:bookmarkEnd w:id="4"/>
    </w:p>
    <w:p w14:paraId="12792760"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4CE83AFB"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Příloha povinně obsahuje:</w:t>
      </w:r>
    </w:p>
    <w:p w14:paraId="042B965D" w14:textId="6F016660" w:rsidR="004702C2" w:rsidRPr="00530BBB" w:rsidRDefault="004702C2" w:rsidP="004702C2">
      <w:pPr>
        <w:pStyle w:val="Odstavecseseznamem1"/>
        <w:numPr>
          <w:ilvl w:val="0"/>
          <w:numId w:val="13"/>
        </w:numPr>
        <w:ind w:left="357" w:hanging="357"/>
        <w:contextualSpacing w:val="0"/>
        <w:rPr>
          <w:rFonts w:asciiTheme="minorHAnsi" w:hAnsiTheme="minorHAnsi" w:cstheme="minorHAnsi"/>
          <w:lang w:eastAsia="cs-CZ"/>
        </w:rPr>
      </w:pPr>
      <w:r w:rsidRPr="00530BBB">
        <w:rPr>
          <w:rFonts w:asciiTheme="minorHAnsi" w:hAnsiTheme="minorHAnsi" w:cstheme="minorHAnsi"/>
          <w:lang w:eastAsia="cs-CZ"/>
        </w:rPr>
        <w:t xml:space="preserve">Garantované úspory nákladů </w:t>
      </w:r>
      <w:r w:rsidR="00C5149E">
        <w:rPr>
          <w:rFonts w:asciiTheme="minorHAnsi" w:hAnsiTheme="minorHAnsi" w:cstheme="minorHAnsi"/>
          <w:lang w:eastAsia="cs-CZ"/>
        </w:rPr>
        <w:t>akce</w:t>
      </w:r>
      <w:r w:rsidR="00C5149E" w:rsidRPr="00530BBB">
        <w:rPr>
          <w:rFonts w:asciiTheme="minorHAnsi" w:hAnsiTheme="minorHAnsi" w:cstheme="minorHAnsi"/>
          <w:lang w:eastAsia="cs-CZ"/>
        </w:rPr>
        <w:t xml:space="preserve"> </w:t>
      </w:r>
      <w:r w:rsidRPr="00530BBB">
        <w:rPr>
          <w:rFonts w:asciiTheme="minorHAnsi" w:hAnsiTheme="minorHAnsi" w:cstheme="minorHAnsi"/>
          <w:lang w:eastAsia="cs-CZ"/>
        </w:rPr>
        <w:t xml:space="preserve">EPC celkem dosažené realizací opatření dle Přílohy č. 2 – budou uvedeny roční a kumulované úspory nákladů. Úspory budou garantovány ve stálých cenách. ESCO na sebe přejímá závazek, že v důsledku provedených opatření budou po dobu poskytování garance v jednotlivých zúčtovacích obdobích dosaženy následující garantované úspory: </w:t>
      </w:r>
      <w:r w:rsidRPr="00E93AB4">
        <w:rPr>
          <w:rFonts w:asciiTheme="minorHAnsi" w:hAnsiTheme="minorHAnsi" w:cstheme="minorHAnsi"/>
          <w:i/>
          <w:iCs/>
          <w:highlight w:val="yellow"/>
          <w:lang w:eastAsia="cs-CZ"/>
        </w:rPr>
        <w:t>doplní ESCO</w:t>
      </w:r>
    </w:p>
    <w:p w14:paraId="173425D6" w14:textId="77777777" w:rsidR="004702C2" w:rsidRPr="00530BBB" w:rsidRDefault="004702C2" w:rsidP="004702C2">
      <w:pPr>
        <w:pStyle w:val="Odstavecseseznamem1"/>
        <w:numPr>
          <w:ilvl w:val="0"/>
          <w:numId w:val="13"/>
        </w:numPr>
        <w:ind w:left="357" w:hanging="357"/>
        <w:contextualSpacing w:val="0"/>
        <w:rPr>
          <w:rFonts w:asciiTheme="minorHAnsi" w:hAnsiTheme="minorHAnsi" w:cstheme="minorHAnsi"/>
          <w:szCs w:val="24"/>
          <w:lang w:eastAsia="cs-CZ"/>
        </w:rPr>
      </w:pPr>
      <w:r w:rsidRPr="00530BBB">
        <w:rPr>
          <w:rFonts w:asciiTheme="minorHAnsi" w:hAnsiTheme="minorHAnsi" w:cstheme="minorHAnsi"/>
          <w:lang w:eastAsia="cs-CZ"/>
        </w:rPr>
        <w:t>Způsob výpočtu sankce a výše sankce za nedosažení garantované úspory:</w:t>
      </w:r>
    </w:p>
    <w:p w14:paraId="469C311F"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ESCO se zavazuje za příslušné zúčtovací období uhradit Klientovi sankci ve výši rozdílu mezi garantovanou a skutečně dosaženou úsporou nákladů v příslušném zúčtovacím období.</w:t>
      </w:r>
    </w:p>
    <w:p w14:paraId="71155CCF" w14:textId="6F8663E1" w:rsidR="004702C2" w:rsidRPr="00530BBB" w:rsidRDefault="004702C2" w:rsidP="004702C2">
      <w:pPr>
        <w:pStyle w:val="Odstavecseseznamem1"/>
        <w:numPr>
          <w:ilvl w:val="0"/>
          <w:numId w:val="13"/>
        </w:numPr>
        <w:contextualSpacing w:val="0"/>
        <w:rPr>
          <w:rFonts w:asciiTheme="minorHAnsi" w:hAnsiTheme="minorHAnsi" w:cstheme="minorHAnsi"/>
          <w:lang w:eastAsia="cs-CZ"/>
        </w:rPr>
      </w:pPr>
      <w:r w:rsidRPr="00530BBB">
        <w:rPr>
          <w:rFonts w:asciiTheme="minorHAnsi" w:hAnsiTheme="minorHAnsi" w:cstheme="minorHAnsi"/>
          <w:lang w:eastAsia="cs-CZ"/>
        </w:rPr>
        <w:t xml:space="preserve">Způsob výpočtu prémie a výše prémie, příloha bude v souladu se smlouvou, článkem 21 smlouvy. Celková velikost prémie pro ESCO bude stanovena jako </w:t>
      </w:r>
      <w:r w:rsidR="00EC53E5">
        <w:rPr>
          <w:rFonts w:asciiTheme="minorHAnsi" w:hAnsiTheme="minorHAnsi" w:cstheme="minorHAnsi"/>
          <w:lang w:eastAsia="cs-CZ"/>
        </w:rPr>
        <w:t>40</w:t>
      </w:r>
      <w:r w:rsidRPr="00530BBB">
        <w:rPr>
          <w:rFonts w:asciiTheme="minorHAnsi" w:hAnsiTheme="minorHAnsi" w:cstheme="minorHAnsi"/>
          <w:lang w:eastAsia="cs-CZ"/>
        </w:rPr>
        <w:t xml:space="preserve"> % rozdílu mezi skutečně dosaženou úsporou nákladů v příslušném zúčtovacím období a garantovanou úsporou za toto zúčtovací období v rozsahu specifikovaném v příloze č. 5 návrhu smlouvy, bod a).</w:t>
      </w:r>
    </w:p>
    <w:p w14:paraId="5B965647" w14:textId="6D185803"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3178BCFB" w14:textId="77777777" w:rsidR="004702C2" w:rsidRPr="00530BBB" w:rsidRDefault="004702C2" w:rsidP="004702C2">
      <w:pPr>
        <w:pStyle w:val="Nadpis1"/>
        <w:numPr>
          <w:ilvl w:val="0"/>
          <w:numId w:val="0"/>
        </w:numPr>
        <w:rPr>
          <w:rFonts w:asciiTheme="minorHAnsi" w:hAnsiTheme="minorHAnsi" w:cstheme="minorHAnsi"/>
        </w:rPr>
      </w:pPr>
      <w:bookmarkStart w:id="5" w:name="_Toc85704332"/>
      <w:r w:rsidRPr="00530BBB">
        <w:rPr>
          <w:rFonts w:asciiTheme="minorHAnsi" w:hAnsiTheme="minorHAnsi" w:cstheme="minorHAnsi"/>
        </w:rPr>
        <w:lastRenderedPageBreak/>
        <w:t>Příloha č. 6: Vyhodnocování dosažených úspor</w:t>
      </w:r>
      <w:bookmarkEnd w:id="5"/>
    </w:p>
    <w:p w14:paraId="7FF6C531"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38F7EB1A" w14:textId="23C16CBC"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Příloha k vyhodnocování dosažených úspor bude obsahovat všechny podstatné výpočty a údaje, využívané pro vyhodnocení dosažených a garantovaných výsledků </w:t>
      </w:r>
      <w:r w:rsidR="00C5149E">
        <w:rPr>
          <w:rFonts w:asciiTheme="minorHAnsi" w:hAnsiTheme="minorHAnsi" w:cstheme="minorHAnsi"/>
        </w:rPr>
        <w:t>akce</w:t>
      </w:r>
      <w:r w:rsidRPr="00530BBB">
        <w:rPr>
          <w:rFonts w:asciiTheme="minorHAnsi" w:hAnsiTheme="minorHAnsi" w:cstheme="minorHAnsi"/>
        </w:rPr>
        <w:t xml:space="preserve">. Podkladem pro obsah této přílohy je Mezinárodní protokol k měření a verifikaci úspor (International Performance Measurement and Verification Protocol) organizace EVO (Efficiency Valuation Organisation), který je v češtině dostupný na stránce </w:t>
      </w:r>
      <w:hyperlink r:id="rId9" w:history="1">
        <w:r w:rsidRPr="00530BBB">
          <w:rPr>
            <w:rStyle w:val="Hypertextovodkaz"/>
            <w:rFonts w:asciiTheme="minorHAnsi" w:hAnsiTheme="minorHAnsi" w:cstheme="minorHAnsi"/>
          </w:rPr>
          <w:t>www.evo-world.org</w:t>
        </w:r>
      </w:hyperlink>
      <w:r w:rsidRPr="00530BBB">
        <w:rPr>
          <w:rFonts w:asciiTheme="minorHAnsi" w:hAnsiTheme="minorHAnsi" w:cstheme="minorHAnsi"/>
        </w:rPr>
        <w:t xml:space="preserve">. </w:t>
      </w:r>
    </w:p>
    <w:p w14:paraId="1A03197E" w14:textId="3DB447E2"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Součástí protokolu IPMVP je popis tvorby a obsahu plánu měření a verifikace dosažených výsledků </w:t>
      </w:r>
      <w:r w:rsidR="005D4F4F">
        <w:rPr>
          <w:rFonts w:asciiTheme="minorHAnsi" w:hAnsiTheme="minorHAnsi" w:cstheme="minorHAnsi"/>
        </w:rPr>
        <w:t>projektu</w:t>
      </w:r>
      <w:r w:rsidR="00C5149E">
        <w:rPr>
          <w:rFonts w:asciiTheme="minorHAnsi" w:hAnsiTheme="minorHAnsi" w:cstheme="minorHAnsi"/>
        </w:rPr>
        <w:t>/akce</w:t>
      </w:r>
      <w:r w:rsidRPr="00530BBB">
        <w:rPr>
          <w:rFonts w:asciiTheme="minorHAnsi" w:hAnsiTheme="minorHAnsi" w:cstheme="minorHAnsi"/>
        </w:rPr>
        <w:t xml:space="preserve"> (plán M&amp;V) a jeho nezbytných náležitostí, které slouží k prověření dosažených výsledků a k verifikaci garantovaných výsledků </w:t>
      </w:r>
      <w:r w:rsidR="001C4B31">
        <w:rPr>
          <w:rFonts w:asciiTheme="minorHAnsi" w:hAnsiTheme="minorHAnsi" w:cstheme="minorHAnsi"/>
        </w:rPr>
        <w:t xml:space="preserve">energeticky </w:t>
      </w:r>
      <w:r w:rsidRPr="00530BBB">
        <w:rPr>
          <w:rFonts w:asciiTheme="minorHAnsi" w:hAnsiTheme="minorHAnsi" w:cstheme="minorHAnsi"/>
        </w:rPr>
        <w:t>úsporného projektu</w:t>
      </w:r>
      <w:r w:rsidR="00C5149E">
        <w:rPr>
          <w:rFonts w:asciiTheme="minorHAnsi" w:hAnsiTheme="minorHAnsi" w:cstheme="minorHAnsi"/>
        </w:rPr>
        <w:t>/akce</w:t>
      </w:r>
      <w:r w:rsidRPr="00530BBB">
        <w:rPr>
          <w:rFonts w:asciiTheme="minorHAnsi" w:hAnsiTheme="minorHAnsi" w:cstheme="minorHAnsi"/>
        </w:rPr>
        <w:t>.</w:t>
      </w:r>
    </w:p>
    <w:p w14:paraId="03F5B079" w14:textId="1FFD5A44" w:rsidR="004702C2" w:rsidRPr="00530BBB" w:rsidRDefault="004702C2" w:rsidP="004702C2">
      <w:pPr>
        <w:rPr>
          <w:rFonts w:asciiTheme="minorHAnsi" w:hAnsiTheme="minorHAnsi" w:cstheme="minorHAnsi"/>
        </w:rPr>
      </w:pPr>
      <w:r w:rsidRPr="00530BBB">
        <w:rPr>
          <w:rFonts w:asciiTheme="minorHAnsi" w:hAnsiTheme="minorHAnsi" w:cstheme="minorHAnsi"/>
        </w:rPr>
        <w:t>Dílčí části plánu M&amp;V dle IPMVP mohou být obsaženy v ostatních přílohách, v této příloze bude nicméně povinně popsán způsob stanovení a prokazování úspor paliv, vody a energie a úspor nákladů.</w:t>
      </w:r>
    </w:p>
    <w:p w14:paraId="037FC031"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Druh úspor, které budou vyhodnocovány</w:t>
      </w:r>
    </w:p>
    <w:p w14:paraId="56FCCE0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Když řekneme „úspory“, máme na mysli nerealizovanou spotřebu energie (nerealizované náklady) </w:t>
      </w:r>
    </w:p>
    <w:p w14:paraId="3B798FAE" w14:textId="77777777" w:rsidR="004702C2" w:rsidRPr="00530BBB" w:rsidRDefault="004702C2" w:rsidP="004702C2">
      <w:pPr>
        <w:pStyle w:val="Odstavecseseznamem1"/>
        <w:ind w:left="360"/>
        <w:rPr>
          <w:rFonts w:asciiTheme="minorHAnsi" w:hAnsiTheme="minorHAnsi" w:cstheme="minorHAnsi"/>
          <w:u w:val="single"/>
          <w:lang w:eastAsia="cs-CZ"/>
        </w:rPr>
      </w:pPr>
      <w:r w:rsidRPr="00530BBB">
        <w:rPr>
          <w:rFonts w:asciiTheme="minorHAnsi" w:hAnsiTheme="minorHAnsi" w:cstheme="minorHAnsi"/>
          <w:u w:val="single"/>
          <w:lang w:eastAsia="cs-CZ"/>
        </w:rPr>
        <w:t>Nerealizovaná spotřeba/nerealizované náklady</w:t>
      </w:r>
    </w:p>
    <w:p w14:paraId="4189E093" w14:textId="289CE8BF"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Abychom mohli propočíst „nerealizované náklady“, musíme </w:t>
      </w:r>
      <w:r w:rsidRPr="00530BBB">
        <w:rPr>
          <w:rFonts w:asciiTheme="minorHAnsi" w:hAnsiTheme="minorHAnsi" w:cstheme="minorHAnsi"/>
          <w:i/>
          <w:iCs/>
        </w:rPr>
        <w:t>určit, jaká by byla výše</w:t>
      </w:r>
      <w:r w:rsidRPr="00530BBB">
        <w:rPr>
          <w:rFonts w:asciiTheme="minorHAnsi" w:hAnsiTheme="minorHAnsi" w:cstheme="minorHAnsi"/>
        </w:rPr>
        <w:t xml:space="preserve"> </w:t>
      </w:r>
      <w:r w:rsidRPr="00530BBB">
        <w:rPr>
          <w:rFonts w:asciiTheme="minorHAnsi" w:hAnsiTheme="minorHAnsi" w:cstheme="minorHAnsi"/>
          <w:i/>
          <w:iCs/>
        </w:rPr>
        <w:t>nákladů za zúčtovací období,</w:t>
      </w:r>
      <w:r w:rsidRPr="00530BBB">
        <w:rPr>
          <w:rFonts w:asciiTheme="minorHAnsi" w:hAnsiTheme="minorHAnsi" w:cstheme="minorHAnsi"/>
        </w:rPr>
        <w:t xml:space="preserve"> pokud by bývalo nedošlo k rekonstrukci. Pro vykázání „nerealizované“ spotřeby energie nebo nákladů musíme upravit spotřebu/odběr energie ve výchozím – referenčním - období na podmínky zúčtovacího období. Tzn., že platí (viz rovnice 1b) v IPMVP, sv. I, 2010, kapitola 4.6.1):</w:t>
      </w:r>
    </w:p>
    <w:p w14:paraId="6179437D" w14:textId="77777777" w:rsidR="004702C2" w:rsidRPr="00530BBB" w:rsidRDefault="004702C2" w:rsidP="004702C2">
      <w:pPr>
        <w:ind w:left="708"/>
        <w:rPr>
          <w:rFonts w:asciiTheme="minorHAnsi" w:hAnsiTheme="minorHAnsi" w:cstheme="minorHAnsi"/>
          <w:i/>
          <w:color w:val="632423"/>
        </w:rPr>
      </w:pPr>
      <w:r w:rsidRPr="00530BBB">
        <w:rPr>
          <w:rFonts w:asciiTheme="minorHAnsi" w:hAnsiTheme="minorHAnsi" w:cstheme="minorHAnsi"/>
          <w:i/>
          <w:color w:val="632423"/>
        </w:rPr>
        <w:t>Úspory vykázané za jakékoli období = upravená spotřeba energie (náklady) v referenčním období - spotřeba energie (náklady) v zúčtovacím období +/- nestandardní úpravy</w:t>
      </w:r>
    </w:p>
    <w:p w14:paraId="041EF552"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Rozsah úprav se mění v jednotlivých obdobích z důvodu měnících se podmínek zúčtovacího období.</w:t>
      </w:r>
    </w:p>
    <w:p w14:paraId="32B5F546" w14:textId="77777777" w:rsidR="004702C2" w:rsidRPr="00530BBB" w:rsidRDefault="004702C2" w:rsidP="004702C2">
      <w:pPr>
        <w:pStyle w:val="Odstavecseseznamem1"/>
        <w:numPr>
          <w:ilvl w:val="0"/>
          <w:numId w:val="3"/>
        </w:numPr>
        <w:spacing w:before="240"/>
        <w:ind w:left="357" w:hanging="357"/>
        <w:rPr>
          <w:rFonts w:asciiTheme="minorHAnsi" w:hAnsiTheme="minorHAnsi" w:cstheme="minorHAnsi"/>
          <w:b/>
          <w:lang w:eastAsia="cs-CZ"/>
        </w:rPr>
      </w:pPr>
      <w:r w:rsidRPr="00530BBB">
        <w:rPr>
          <w:rFonts w:asciiTheme="minorHAnsi" w:hAnsiTheme="minorHAnsi" w:cstheme="minorHAnsi"/>
          <w:b/>
          <w:lang w:eastAsia="cs-CZ"/>
        </w:rPr>
        <w:t>Vybraná varianta IPMVP a hranice systému</w:t>
      </w:r>
    </w:p>
    <w:p w14:paraId="098F57E6"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Bude uvedena varianta IPMVP – způsob vyhodnocení úspory, kterou ESCO použije. Způsob vyhodnocení úspory jasně stanoví </w:t>
      </w:r>
      <w:r w:rsidRPr="00530BBB">
        <w:rPr>
          <w:rFonts w:asciiTheme="minorHAnsi" w:hAnsiTheme="minorHAnsi" w:cstheme="minorHAnsi"/>
          <w:u w:val="single"/>
        </w:rPr>
        <w:t>pro každou veličinu</w:t>
      </w:r>
      <w:r w:rsidRPr="00530BBB">
        <w:rPr>
          <w:rFonts w:asciiTheme="minorHAnsi" w:hAnsiTheme="minorHAnsi" w:cstheme="minorHAnsi"/>
        </w:rPr>
        <w:t>, zdali hodnotíme spotřebu energie:</w:t>
      </w:r>
    </w:p>
    <w:p w14:paraId="5B2BC162" w14:textId="77777777" w:rsidR="004702C2" w:rsidRPr="00530BBB" w:rsidRDefault="004702C2" w:rsidP="004702C2">
      <w:pPr>
        <w:pStyle w:val="Odstavecseseznamem1"/>
        <w:numPr>
          <w:ilvl w:val="0"/>
          <w:numId w:val="7"/>
        </w:numPr>
        <w:rPr>
          <w:rFonts w:asciiTheme="minorHAnsi" w:hAnsiTheme="minorHAnsi" w:cstheme="minorHAnsi"/>
          <w:lang w:eastAsia="cs-CZ"/>
        </w:rPr>
      </w:pPr>
      <w:r w:rsidRPr="00530BBB">
        <w:rPr>
          <w:rFonts w:asciiTheme="minorHAnsi" w:hAnsiTheme="minorHAnsi" w:cstheme="minorHAnsi"/>
          <w:lang w:eastAsia="cs-CZ"/>
        </w:rPr>
        <w:t>celého objektu</w:t>
      </w:r>
    </w:p>
    <w:p w14:paraId="38A6BA99"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jednoho nebo více systémů (osvětlení, HVAC, stlačený vzduch apod.)</w:t>
      </w:r>
    </w:p>
    <w:p w14:paraId="6F514BEE"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jednu nebo více komponent (kotel, chladič, motor, osvětlovací těleso, čerpadlo, ventilátor atp.)</w:t>
      </w:r>
    </w:p>
    <w:p w14:paraId="1CDAED30" w14:textId="5CC8083C"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Podle toho definuje IPMVP čtyři obecné metody (nazvané varianta A, B, C a D), které pokrývají rozsah potenciálních </w:t>
      </w:r>
      <w:r w:rsidR="001C4B31">
        <w:rPr>
          <w:rFonts w:asciiTheme="minorHAnsi" w:hAnsiTheme="minorHAnsi" w:cstheme="minorHAnsi"/>
        </w:rPr>
        <w:t>akcí (</w:t>
      </w:r>
      <w:r w:rsidRPr="00530BBB">
        <w:rPr>
          <w:rFonts w:asciiTheme="minorHAnsi" w:hAnsiTheme="minorHAnsi" w:cstheme="minorHAnsi"/>
        </w:rPr>
        <w:t>projektů energetických úspor</w:t>
      </w:r>
      <w:r w:rsidR="001C4B31">
        <w:rPr>
          <w:rFonts w:asciiTheme="minorHAnsi" w:hAnsiTheme="minorHAnsi" w:cstheme="minorHAnsi"/>
        </w:rPr>
        <w:t>)</w:t>
      </w:r>
      <w:r w:rsidRPr="00530BBB">
        <w:rPr>
          <w:rFonts w:asciiTheme="minorHAnsi" w:hAnsiTheme="minorHAnsi" w:cstheme="minorHAnsi"/>
        </w:rPr>
        <w:t>. Bude uvedena zvolená varianta.</w:t>
      </w:r>
    </w:p>
    <w:p w14:paraId="15CA0A81" w14:textId="77777777" w:rsidR="004702C2" w:rsidRPr="00530BBB" w:rsidRDefault="004702C2" w:rsidP="004702C2">
      <w:pPr>
        <w:pStyle w:val="Odstavecseseznamem1"/>
        <w:numPr>
          <w:ilvl w:val="0"/>
          <w:numId w:val="8"/>
        </w:numPr>
        <w:rPr>
          <w:rFonts w:asciiTheme="minorHAnsi" w:hAnsiTheme="minorHAnsi" w:cstheme="minorHAnsi"/>
          <w:lang w:eastAsia="cs-CZ"/>
        </w:rPr>
      </w:pPr>
      <w:r w:rsidRPr="00530BBB">
        <w:rPr>
          <w:rFonts w:asciiTheme="minorHAnsi" w:hAnsiTheme="minorHAnsi" w:cstheme="minorHAnsi"/>
          <w:lang w:eastAsia="cs-CZ"/>
        </w:rPr>
        <w:t>VARIANTA A – při způsobu oddělené rekonstrukce se využívá měření klíčového parametru (parametrů) hospodárnosti a odhadu všech ostatních.</w:t>
      </w:r>
    </w:p>
    <w:p w14:paraId="0301B5F5" w14:textId="77777777" w:rsidR="004702C2" w:rsidRPr="00530BBB" w:rsidRDefault="004702C2" w:rsidP="004702C2">
      <w:pPr>
        <w:pStyle w:val="Odstavecseseznamem1"/>
        <w:numPr>
          <w:ilvl w:val="0"/>
          <w:numId w:val="8"/>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lastRenderedPageBreak/>
        <w:t>VARIANTA B – při způsobu oddělené rekonstrukce se využívá měření všech parametrů ovlivňujících užití energie nebo měření užití energie. Celý objekt – globálně bere v úvahu úspory celého objektu a posuzuje celkovou spotřebu energie bez hodnocení energetické náročnosti rekonstruovaného zařízení nebo systémů.</w:t>
      </w:r>
    </w:p>
    <w:p w14:paraId="73AE293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C – celý objekt, využívá data z účtů za energie nebo z odečtu měřidel.</w:t>
      </w:r>
    </w:p>
    <w:p w14:paraId="7B70A33C"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D – kalibrovaná simulace, používá uznávané počítačové simulační nástroje (zveřejněné na webu EVO).</w:t>
      </w:r>
    </w:p>
    <w:p w14:paraId="2B332DCF"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u w:val="single"/>
        </w:rPr>
        <w:t>Oddělená rekonstrukce</w:t>
      </w:r>
      <w:r w:rsidRPr="00530BBB">
        <w:rPr>
          <w:rFonts w:asciiTheme="minorHAnsi" w:hAnsiTheme="minorHAnsi" w:cstheme="minorHAnsi"/>
        </w:rPr>
        <w:t xml:space="preserve"> – bere v úvahu pouze úspory z rekonstruovaného zařízení nebo systému nezávisle na spotřebě energie zbývající části objektu.</w:t>
      </w:r>
    </w:p>
    <w:p w14:paraId="65711F29" w14:textId="28F88A68"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Výběr varianty podle IPMVP je rozhodnutí, které učiní uchazeč na základě celého souboru podmínek </w:t>
      </w:r>
      <w:r w:rsidR="00C5149E">
        <w:rPr>
          <w:rFonts w:asciiTheme="minorHAnsi" w:hAnsiTheme="minorHAnsi" w:cstheme="minorHAnsi"/>
        </w:rPr>
        <w:t>akce/</w:t>
      </w:r>
      <w:r w:rsidR="001C4B31">
        <w:rPr>
          <w:rFonts w:asciiTheme="minorHAnsi" w:hAnsiTheme="minorHAnsi" w:cstheme="minorHAnsi"/>
        </w:rPr>
        <w:t>projektu</w:t>
      </w:r>
      <w:r w:rsidRPr="00530BBB">
        <w:rPr>
          <w:rFonts w:asciiTheme="minorHAnsi" w:hAnsiTheme="minorHAnsi" w:cstheme="minorHAnsi"/>
        </w:rPr>
        <w:t xml:space="preserve">, analýzy, rozpočtů a odborného úsudku. Zvolená varianta musí být relevantní </w:t>
      </w:r>
      <w:r w:rsidR="001C4B31">
        <w:rPr>
          <w:rFonts w:asciiTheme="minorHAnsi" w:hAnsiTheme="minorHAnsi" w:cstheme="minorHAnsi"/>
        </w:rPr>
        <w:t>dan</w:t>
      </w:r>
      <w:r w:rsidR="005D4F4F">
        <w:rPr>
          <w:rFonts w:asciiTheme="minorHAnsi" w:hAnsiTheme="minorHAnsi" w:cstheme="minorHAnsi"/>
        </w:rPr>
        <w:t xml:space="preserve">ému </w:t>
      </w:r>
      <w:r w:rsidRPr="00530BBB">
        <w:rPr>
          <w:rFonts w:asciiTheme="minorHAnsi" w:hAnsiTheme="minorHAnsi" w:cstheme="minorHAnsi"/>
        </w:rPr>
        <w:t>projektu</w:t>
      </w:r>
      <w:r w:rsidR="00C5149E">
        <w:rPr>
          <w:rFonts w:asciiTheme="minorHAnsi" w:hAnsiTheme="minorHAnsi" w:cstheme="minorHAnsi"/>
        </w:rPr>
        <w:t>/akci</w:t>
      </w:r>
      <w:r w:rsidRPr="00530BBB">
        <w:rPr>
          <w:rFonts w:asciiTheme="minorHAnsi" w:hAnsiTheme="minorHAnsi" w:cstheme="minorHAnsi"/>
        </w:rPr>
        <w:t xml:space="preserve"> a navrženým opatřením k úspoře energie, vody, či materiálu a náklady na měření, jeho přesnost a četnost a náklady na verifikaci musí být úměrné rozsahu a velikosti projektu</w:t>
      </w:r>
      <w:r w:rsidR="00C5149E">
        <w:rPr>
          <w:rFonts w:asciiTheme="minorHAnsi" w:hAnsiTheme="minorHAnsi" w:cstheme="minorHAnsi"/>
        </w:rPr>
        <w:t>/akce</w:t>
      </w:r>
      <w:r w:rsidRPr="00530BBB">
        <w:rPr>
          <w:rFonts w:asciiTheme="minorHAnsi" w:hAnsiTheme="minorHAnsi" w:cstheme="minorHAnsi"/>
        </w:rPr>
        <w:t>.</w:t>
      </w:r>
    </w:p>
    <w:p w14:paraId="3FC5543E"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Pro stanovení hranice je zapotřebí, aby uchazeč zvážil:</w:t>
      </w:r>
    </w:p>
    <w:p w14:paraId="103D9B07"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odpovědnost různých stran za spotřebu energie a za rekonstrukci</w:t>
      </w:r>
    </w:p>
    <w:p w14:paraId="2671207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svou schopnost sledovat změny objektu a jeho spotřebu – v rámci zvolené hranice.</w:t>
      </w:r>
    </w:p>
    <w:p w14:paraId="5CF7C65B" w14:textId="77777777" w:rsidR="004702C2" w:rsidRPr="00530BBB" w:rsidRDefault="004702C2" w:rsidP="004702C2">
      <w:pPr>
        <w:pStyle w:val="Odstavecseseznamem1"/>
        <w:numPr>
          <w:ilvl w:val="0"/>
          <w:numId w:val="3"/>
        </w:numPr>
        <w:spacing w:before="240"/>
        <w:ind w:left="357" w:hanging="357"/>
        <w:contextualSpacing w:val="0"/>
        <w:rPr>
          <w:rFonts w:asciiTheme="minorHAnsi" w:hAnsiTheme="minorHAnsi" w:cstheme="minorHAnsi"/>
          <w:b/>
          <w:lang w:eastAsia="cs-CZ"/>
        </w:rPr>
      </w:pPr>
      <w:r w:rsidRPr="00530BBB">
        <w:rPr>
          <w:rFonts w:asciiTheme="minorHAnsi" w:hAnsiTheme="minorHAnsi" w:cstheme="minorHAnsi"/>
          <w:b/>
          <w:lang w:eastAsia="cs-CZ"/>
        </w:rPr>
        <w:t xml:space="preserve">Zúčtovací období </w:t>
      </w:r>
    </w:p>
    <w:p w14:paraId="28816953"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Tato příloha uvede termíny zahájení a ukončení zúčtovacího období, termíny podávání zpráv – průběžných za jednotlivá zúčtovací období a konečného vyúčtování úspor. Splnění garance bude posuzováno vždy za ucelený rok (tj. zúčtovací období). Úspory budou vyhodnocovány měsíčně.</w:t>
      </w:r>
    </w:p>
    <w:p w14:paraId="07B26DF2"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Provádění analýzy – základy pro úpravu</w:t>
      </w:r>
    </w:p>
    <w:p w14:paraId="633099C1" w14:textId="6FAE4CBF" w:rsidR="004702C2" w:rsidRPr="00530BBB" w:rsidRDefault="004702C2" w:rsidP="004702C2">
      <w:pPr>
        <w:ind w:left="360"/>
        <w:rPr>
          <w:rFonts w:asciiTheme="minorHAnsi" w:hAnsiTheme="minorHAnsi" w:cstheme="minorHAnsi"/>
        </w:rPr>
      </w:pPr>
      <w:r w:rsidRPr="00530BBB">
        <w:rPr>
          <w:rFonts w:asciiTheme="minorHAnsi" w:hAnsiTheme="minorHAnsi" w:cstheme="minorHAnsi"/>
        </w:rPr>
        <w:t>Analýza výchozích dat o spotřebě energie znamená vytvoření matematických modelů pro korelaci:</w:t>
      </w:r>
    </w:p>
    <w:p w14:paraId="5A876DD5" w14:textId="0CC323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spotřeby energie a</w:t>
      </w:r>
    </w:p>
    <w:p w14:paraId="188D73BA" w14:textId="777777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nezávislých proměnných a statických faktorů s vlivy na spotřebu energie</w:t>
      </w:r>
    </w:p>
    <w:p w14:paraId="059D56E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Referenční data musí zahrnovat za </w:t>
      </w:r>
      <w:r w:rsidRPr="00530BBB">
        <w:rPr>
          <w:rFonts w:asciiTheme="minorHAnsi" w:hAnsiTheme="minorHAnsi" w:cstheme="minorHAnsi"/>
          <w:u w:val="single"/>
        </w:rPr>
        <w:t>referenční (výchozí) období</w:t>
      </w:r>
      <w:r w:rsidRPr="00530BBB">
        <w:rPr>
          <w:rFonts w:asciiTheme="minorHAnsi" w:hAnsiTheme="minorHAnsi" w:cstheme="minorHAnsi"/>
        </w:rPr>
        <w:t>:</w:t>
      </w:r>
    </w:p>
    <w:p w14:paraId="001B9578" w14:textId="35344B3F"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data veškeré spotřeby (a odběru) energie</w:t>
      </w:r>
    </w:p>
    <w:p w14:paraId="3D41BCE3" w14:textId="32378083"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všechna data nezávislých proměnných (pro </w:t>
      </w:r>
      <w:r w:rsidRPr="00530BBB">
        <w:rPr>
          <w:rFonts w:asciiTheme="minorHAnsi" w:hAnsiTheme="minorHAnsi" w:cstheme="minorHAnsi"/>
          <w:u w:val="single"/>
        </w:rPr>
        <w:t>standardní úpravy</w:t>
      </w:r>
      <w:r w:rsidRPr="00530BBB">
        <w:rPr>
          <w:rFonts w:asciiTheme="minorHAnsi" w:hAnsiTheme="minorHAnsi" w:cstheme="minorHAnsi"/>
        </w:rPr>
        <w:t>)</w:t>
      </w:r>
    </w:p>
    <w:p w14:paraId="1DF83552" w14:textId="77777777"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všechny další faktory významně ovlivňující spotřebu energie kvůli zjištění, kdy došlo ke změně výchozích podmínek (potřebujících </w:t>
      </w:r>
      <w:r w:rsidRPr="00530BBB">
        <w:rPr>
          <w:rFonts w:asciiTheme="minorHAnsi" w:hAnsiTheme="minorHAnsi" w:cstheme="minorHAnsi"/>
          <w:u w:val="single"/>
        </w:rPr>
        <w:t>nestandardní úpravu).</w:t>
      </w:r>
      <w:r w:rsidRPr="00530BBB">
        <w:rPr>
          <w:rFonts w:asciiTheme="minorHAnsi" w:hAnsiTheme="minorHAnsi" w:cstheme="minorHAnsi"/>
        </w:rPr>
        <w:t xml:space="preserve"> Tyto faktory se nazývají </w:t>
      </w:r>
      <w:r w:rsidRPr="00530BBB">
        <w:rPr>
          <w:rFonts w:asciiTheme="minorHAnsi" w:hAnsiTheme="minorHAnsi" w:cstheme="minorHAnsi"/>
          <w:bCs/>
          <w:u w:val="single"/>
        </w:rPr>
        <w:t>statické faktory,</w:t>
      </w:r>
      <w:r w:rsidRPr="00530BBB">
        <w:rPr>
          <w:rFonts w:asciiTheme="minorHAnsi" w:hAnsiTheme="minorHAnsi" w:cstheme="minorHAnsi"/>
        </w:rPr>
        <w:t xml:space="preserve"> aby se odlišily od proměnných, které se standardně mění.</w:t>
      </w:r>
    </w:p>
    <w:p w14:paraId="56225F6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u w:val="single"/>
        </w:rPr>
        <w:t xml:space="preserve">Nezávislé proměnné </w:t>
      </w:r>
      <w:r w:rsidRPr="00530BBB">
        <w:rPr>
          <w:rFonts w:asciiTheme="minorHAnsi" w:hAnsiTheme="minorHAnsi" w:cstheme="minorHAnsi"/>
        </w:rPr>
        <w:t xml:space="preserve">jsou faktory určující spotřebu energie, které se </w:t>
      </w:r>
      <w:r w:rsidRPr="00530BBB">
        <w:rPr>
          <w:rFonts w:asciiTheme="minorHAnsi" w:hAnsiTheme="minorHAnsi" w:cstheme="minorHAnsi"/>
          <w:bCs/>
          <w:i/>
          <w:iCs/>
        </w:rPr>
        <w:t>běžně</w:t>
      </w:r>
      <w:r w:rsidRPr="00530BBB">
        <w:rPr>
          <w:rFonts w:asciiTheme="minorHAnsi" w:hAnsiTheme="minorHAnsi" w:cstheme="minorHAnsi"/>
        </w:rPr>
        <w:t xml:space="preserve"> mění a významně ovlivňují spotřebu energie. Je třeba stanovit, jaké proměnné </w:t>
      </w:r>
      <w:r w:rsidRPr="00530BBB">
        <w:rPr>
          <w:rFonts w:asciiTheme="minorHAnsi" w:hAnsiTheme="minorHAnsi" w:cstheme="minorHAnsi"/>
          <w:i/>
          <w:iCs/>
        </w:rPr>
        <w:t>běžně</w:t>
      </w:r>
      <w:r w:rsidRPr="00530BBB">
        <w:rPr>
          <w:rFonts w:asciiTheme="minorHAnsi" w:hAnsiTheme="minorHAnsi" w:cstheme="minorHAnsi"/>
        </w:rPr>
        <w:t xml:space="preserve"> ovlivňují spotřebu energie, jak významný je vliv každé proměnné, jak získáme data o každé proměnné, jak zjistíme (nebo stanovíme) nezávislé proměnné. Vyberte pouze proměnné nutné k </w:t>
      </w:r>
      <w:r w:rsidRPr="00530BBB">
        <w:rPr>
          <w:rFonts w:asciiTheme="minorHAnsi" w:hAnsiTheme="minorHAnsi" w:cstheme="minorHAnsi"/>
          <w:i/>
          <w:iCs/>
        </w:rPr>
        <w:t xml:space="preserve">přiměřenému </w:t>
      </w:r>
      <w:r w:rsidRPr="00530BBB">
        <w:rPr>
          <w:rFonts w:asciiTheme="minorHAnsi" w:hAnsiTheme="minorHAnsi" w:cstheme="minorHAnsi"/>
        </w:rPr>
        <w:t>doložení výkyvů ve výchozích datech (např. provozní hodiny, počet topných dnů, apod.). Zvažte důležitost vlivů mimo zvolenou hranici, známých jako „interaktivní vlivy“.</w:t>
      </w:r>
    </w:p>
    <w:p w14:paraId="7FB20F36" w14:textId="0AE4CC67" w:rsidR="004702C2" w:rsidRPr="00530BBB" w:rsidRDefault="004702C2" w:rsidP="004702C2">
      <w:pPr>
        <w:ind w:left="360"/>
        <w:rPr>
          <w:rFonts w:asciiTheme="minorHAnsi" w:hAnsiTheme="minorHAnsi" w:cstheme="minorHAnsi"/>
        </w:rPr>
      </w:pPr>
      <w:r w:rsidRPr="00530BBB">
        <w:rPr>
          <w:rFonts w:asciiTheme="minorHAnsi" w:hAnsiTheme="minorHAnsi" w:cstheme="minorHAnsi"/>
        </w:rPr>
        <w:lastRenderedPageBreak/>
        <w:t>Budou uvedeny rovnice a způsoby výpočtu výsledků</w:t>
      </w:r>
      <w:r w:rsidR="005D4F4F">
        <w:rPr>
          <w:rFonts w:asciiTheme="minorHAnsi" w:hAnsiTheme="minorHAnsi" w:cstheme="minorHAnsi"/>
        </w:rPr>
        <w:t xml:space="preserve"> </w:t>
      </w:r>
      <w:r w:rsidR="00C5149E">
        <w:rPr>
          <w:rFonts w:asciiTheme="minorHAnsi" w:hAnsiTheme="minorHAnsi" w:cstheme="minorHAnsi"/>
        </w:rPr>
        <w:t>akce/</w:t>
      </w:r>
      <w:r w:rsidRPr="00530BBB">
        <w:rPr>
          <w:rFonts w:asciiTheme="minorHAnsi" w:hAnsiTheme="minorHAnsi" w:cstheme="minorHAnsi"/>
        </w:rPr>
        <w:t>projektu. Bude uveden soubor podmínek, podle kterých budou všechna energetická měření upravena. Může jít o podmínky vykazovaného období nebo o nějaký další soubor stanovených podmínek.</w:t>
      </w:r>
    </w:p>
    <w:p w14:paraId="6CFE77EF"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Ceny energie</w:t>
      </w:r>
    </w:p>
    <w:p w14:paraId="794C0C9F"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Způsob, jakým je stanovena úspora nákladů, závisí na tom, jak je vypočtena uspořená energie a jak je oceněna. </w:t>
      </w:r>
      <w:r w:rsidRPr="00530BBB">
        <w:rPr>
          <w:rFonts w:asciiTheme="minorHAnsi" w:hAnsiTheme="minorHAnsi" w:cstheme="minorHAnsi"/>
          <w:b/>
        </w:rPr>
        <w:t>Bude použita stálá cena dle ZD – tabulky technicko-ekonomických údajů.</w:t>
      </w:r>
    </w:p>
    <w:p w14:paraId="758D3941"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i/>
        </w:rPr>
        <w:t xml:space="preserve">Úspory </w:t>
      </w:r>
      <w:r w:rsidRPr="00530BBB">
        <w:rPr>
          <w:rFonts w:asciiTheme="minorHAnsi" w:hAnsiTheme="minorHAnsi" w:cstheme="minorHAnsi"/>
        </w:rPr>
        <w:t>nákladů jsou stanoveny použitím příslušného cenového harmonogramu v následující rovnici:</w:t>
      </w:r>
    </w:p>
    <w:p w14:paraId="45DA5871"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i/>
        </w:rPr>
        <w:t>Úspory</w:t>
      </w:r>
      <w:r w:rsidRPr="00530BBB">
        <w:rPr>
          <w:rFonts w:asciiTheme="minorHAnsi" w:hAnsiTheme="minorHAnsi" w:cstheme="minorHAnsi"/>
        </w:rPr>
        <w:t xml:space="preserve"> nákladů = C</w:t>
      </w:r>
      <w:r w:rsidRPr="00530BBB">
        <w:rPr>
          <w:rFonts w:asciiTheme="minorHAnsi" w:hAnsiTheme="minorHAnsi" w:cstheme="minorHAnsi"/>
          <w:vertAlign w:val="subscript"/>
        </w:rPr>
        <w:t>b</w:t>
      </w:r>
      <w:r w:rsidRPr="00530BBB">
        <w:rPr>
          <w:rFonts w:asciiTheme="minorHAnsi" w:hAnsiTheme="minorHAnsi" w:cstheme="minorHAnsi"/>
        </w:rPr>
        <w:t xml:space="preserve"> – C</w:t>
      </w:r>
      <w:r w:rsidRPr="00530BBB">
        <w:rPr>
          <w:rFonts w:asciiTheme="minorHAnsi" w:hAnsiTheme="minorHAnsi" w:cstheme="minorHAnsi"/>
          <w:vertAlign w:val="subscript"/>
        </w:rPr>
        <w:t>r</w:t>
      </w:r>
    </w:p>
    <w:p w14:paraId="647FBB31" w14:textId="77777777" w:rsidR="004702C2" w:rsidRPr="00530BBB" w:rsidRDefault="004702C2" w:rsidP="004702C2">
      <w:pPr>
        <w:ind w:left="360"/>
        <w:rPr>
          <w:rFonts w:asciiTheme="minorHAnsi" w:hAnsiTheme="minorHAnsi" w:cstheme="minorHAnsi"/>
          <w:b/>
        </w:rPr>
      </w:pPr>
      <w:r w:rsidRPr="00530BBB">
        <w:rPr>
          <w:rFonts w:asciiTheme="minorHAnsi" w:hAnsiTheme="minorHAnsi" w:cstheme="minorHAnsi"/>
          <w:b/>
        </w:rPr>
        <w:t>Kde:</w:t>
      </w:r>
    </w:p>
    <w:p w14:paraId="133D4655"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C</w:t>
      </w:r>
      <w:r w:rsidRPr="00530BBB">
        <w:rPr>
          <w:rFonts w:asciiTheme="minorHAnsi" w:hAnsiTheme="minorHAnsi" w:cstheme="minorHAnsi"/>
          <w:vertAlign w:val="subscript"/>
        </w:rPr>
        <w:t>b</w:t>
      </w:r>
      <w:r w:rsidRPr="00530BBB">
        <w:rPr>
          <w:rFonts w:asciiTheme="minorHAnsi" w:hAnsiTheme="minorHAnsi" w:cstheme="minorHAnsi"/>
        </w:rPr>
        <w:t xml:space="preserve"> = náklady na </w:t>
      </w:r>
      <w:r w:rsidRPr="00530BBB">
        <w:rPr>
          <w:rFonts w:asciiTheme="minorHAnsi" w:hAnsiTheme="minorHAnsi" w:cstheme="minorHAnsi"/>
          <w:i/>
        </w:rPr>
        <w:t>spotřebu energie v referenčním období</w:t>
      </w:r>
      <w:r w:rsidRPr="00530BBB">
        <w:rPr>
          <w:rFonts w:asciiTheme="minorHAnsi" w:hAnsiTheme="minorHAnsi" w:cstheme="minorHAnsi"/>
        </w:rPr>
        <w:t xml:space="preserve"> plus všechny </w:t>
      </w:r>
      <w:r w:rsidRPr="00530BBB">
        <w:rPr>
          <w:rFonts w:asciiTheme="minorHAnsi" w:hAnsiTheme="minorHAnsi" w:cstheme="minorHAnsi"/>
          <w:i/>
        </w:rPr>
        <w:t>úpravy</w:t>
      </w:r>
      <w:r w:rsidRPr="00530BBB">
        <w:rPr>
          <w:rStyle w:val="Znakapoznpodarou"/>
          <w:rFonts w:asciiTheme="minorHAnsi" w:hAnsiTheme="minorHAnsi" w:cstheme="minorHAnsi"/>
          <w:i/>
        </w:rPr>
        <w:footnoteReference w:id="1"/>
      </w:r>
    </w:p>
    <w:p w14:paraId="30BFE433" w14:textId="77777777" w:rsidR="004702C2" w:rsidRPr="00530BBB" w:rsidRDefault="004702C2" w:rsidP="004702C2">
      <w:pPr>
        <w:ind w:left="708"/>
        <w:rPr>
          <w:rFonts w:asciiTheme="minorHAnsi" w:hAnsiTheme="minorHAnsi" w:cstheme="minorHAnsi"/>
          <w:i/>
        </w:rPr>
      </w:pPr>
      <w:r w:rsidRPr="00530BBB">
        <w:rPr>
          <w:rFonts w:asciiTheme="minorHAnsi" w:hAnsiTheme="minorHAnsi" w:cstheme="minorHAnsi"/>
        </w:rPr>
        <w:t>C</w:t>
      </w:r>
      <w:r w:rsidRPr="00530BBB">
        <w:rPr>
          <w:rFonts w:asciiTheme="minorHAnsi" w:hAnsiTheme="minorHAnsi" w:cstheme="minorHAnsi"/>
          <w:vertAlign w:val="subscript"/>
        </w:rPr>
        <w:t>r</w:t>
      </w:r>
      <w:r w:rsidRPr="00530BBB">
        <w:rPr>
          <w:rFonts w:asciiTheme="minorHAnsi" w:hAnsiTheme="minorHAnsi" w:cstheme="minorHAnsi"/>
        </w:rPr>
        <w:t xml:space="preserve"> = náklady na </w:t>
      </w:r>
      <w:r w:rsidRPr="00530BBB">
        <w:rPr>
          <w:rFonts w:asciiTheme="minorHAnsi" w:hAnsiTheme="minorHAnsi" w:cstheme="minorHAnsi"/>
          <w:i/>
        </w:rPr>
        <w:t>spotřebu energie v zúčtovacím období</w:t>
      </w:r>
      <w:r w:rsidRPr="00530BBB">
        <w:rPr>
          <w:rFonts w:asciiTheme="minorHAnsi" w:hAnsiTheme="minorHAnsi" w:cstheme="minorHAnsi"/>
        </w:rPr>
        <w:t xml:space="preserve"> plus všechny </w:t>
      </w:r>
      <w:r w:rsidRPr="00530BBB">
        <w:rPr>
          <w:rFonts w:asciiTheme="minorHAnsi" w:hAnsiTheme="minorHAnsi" w:cstheme="minorHAnsi"/>
          <w:i/>
        </w:rPr>
        <w:t xml:space="preserve">úpravy </w:t>
      </w:r>
    </w:p>
    <w:p w14:paraId="4CA250A4"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Očekávaná přesnost a zdroje dat</w:t>
      </w:r>
    </w:p>
    <w:p w14:paraId="09FC94CC"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u w:val="single"/>
        </w:rPr>
        <w:t>Přesnost dat</w:t>
      </w:r>
    </w:p>
    <w:p w14:paraId="39E51B3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Doporučujeme uvést očekávanou přesnost v souvislosti s měřením, a případně analýzou dat, pokud je uvedení této přesnosti potřebné. Hodnocení přesnosti by mělo zahrnovat kvantitativní měřítka úrovně nejistoty při měření a úpravách, která budou použita v plánovaném vykázání úspor. To zahrnuje přesnost měření a dalších dat, chyby modelování, nepřesnosti či chyby výpočtů, chyby dat.</w:t>
      </w:r>
      <w:r w:rsidRPr="00530BBB">
        <w:rPr>
          <w:rStyle w:val="Odkaznakoment"/>
          <w:rFonts w:asciiTheme="minorHAnsi" w:hAnsiTheme="minorHAnsi" w:cstheme="minorHAnsi"/>
        </w:rPr>
        <w:t xml:space="preserve"> </w:t>
      </w:r>
      <w:r w:rsidRPr="00530BBB">
        <w:rPr>
          <w:rFonts w:asciiTheme="minorHAnsi" w:hAnsiTheme="minorHAnsi" w:cstheme="minorHAnsi"/>
          <w:b/>
        </w:rPr>
        <w:t>V tomto ohledu je třeba uvést, že údaje z fakturačních měřidel se považují automaticky za 100% přesné (IPMVP)</w:t>
      </w:r>
      <w:r w:rsidRPr="00530BBB">
        <w:rPr>
          <w:rFonts w:asciiTheme="minorHAnsi" w:hAnsiTheme="minorHAnsi" w:cstheme="minorHAnsi"/>
        </w:rPr>
        <w:t>. Na základě těchto měření se platí za energii, proto je nelze rozporovat.</w:t>
      </w:r>
    </w:p>
    <w:p w14:paraId="255112C6" w14:textId="77777777" w:rsidR="004702C2" w:rsidRPr="00530BBB" w:rsidRDefault="004702C2" w:rsidP="004702C2">
      <w:pPr>
        <w:ind w:left="360"/>
        <w:rPr>
          <w:rFonts w:asciiTheme="minorHAnsi" w:hAnsiTheme="minorHAnsi" w:cstheme="minorHAnsi"/>
          <w:bCs/>
          <w:u w:val="single"/>
        </w:rPr>
      </w:pPr>
      <w:r w:rsidRPr="00530BBB">
        <w:rPr>
          <w:rFonts w:asciiTheme="minorHAnsi" w:hAnsiTheme="minorHAnsi" w:cstheme="minorHAnsi"/>
          <w:bCs/>
          <w:u w:val="single"/>
        </w:rPr>
        <w:t>Zdroje dat:</w:t>
      </w:r>
    </w:p>
    <w:p w14:paraId="324A05F4"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Energetická data</w:t>
      </w:r>
      <w:r w:rsidRPr="00530BBB">
        <w:rPr>
          <w:rFonts w:asciiTheme="minorHAnsi" w:hAnsiTheme="minorHAnsi" w:cstheme="minorHAnsi"/>
          <w:b/>
          <w:bCs/>
        </w:rPr>
        <w:t xml:space="preserve"> </w:t>
      </w:r>
      <w:r w:rsidRPr="00530BBB">
        <w:rPr>
          <w:rFonts w:asciiTheme="minorHAnsi" w:hAnsiTheme="minorHAnsi" w:cstheme="minorHAnsi"/>
        </w:rPr>
        <w:t>o spotřebě paliv, vody a energie pocházejí z měřicích přístrojů dodavatelů energie nebo z účtů za energie, nebo z oddělených měřidel. Nutno uvést způsob sběru dat, způsob měření spotřeby paliv, vody a energie před a po instalaci základních opatření.</w:t>
      </w:r>
    </w:p>
    <w:p w14:paraId="5CD33B2E"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Data nezávislých proměnných ‐ uveďte zdroje dat: z meteorologických stanic, záznamů objektu, řídicích systémů, apod. Průměrné měsíční venkovní teploty a počty topných dnů budou převzaty od stejného zdroje a pro stejnou lokalitu, jako teploty a počty topných dnů uvedené pro referenční období v Příloze č. 1</w:t>
      </w:r>
      <w:r w:rsidRPr="00530BBB">
        <w:rPr>
          <w:rFonts w:asciiTheme="minorHAnsi" w:hAnsiTheme="minorHAnsi" w:cstheme="minorHAnsi"/>
        </w:rPr>
        <w:t xml:space="preserve">. </w:t>
      </w:r>
    </w:p>
    <w:p w14:paraId="2E922FE0"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U každého případného zdroje dat zvažte jeho P-D-S-N:</w:t>
      </w:r>
    </w:p>
    <w:p w14:paraId="394367E3"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P</w:t>
      </w:r>
      <w:r w:rsidRPr="00530BBB">
        <w:rPr>
          <w:rFonts w:asciiTheme="minorHAnsi" w:hAnsiTheme="minorHAnsi" w:cstheme="minorHAnsi"/>
        </w:rPr>
        <w:t>řesnost dat</w:t>
      </w:r>
    </w:p>
    <w:p w14:paraId="69F53C30"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D</w:t>
      </w:r>
      <w:r w:rsidRPr="00530BBB">
        <w:rPr>
          <w:rFonts w:asciiTheme="minorHAnsi" w:hAnsiTheme="minorHAnsi" w:cstheme="minorHAnsi"/>
        </w:rPr>
        <w:t>ostupnost dat v případě potřeby</w:t>
      </w:r>
    </w:p>
    <w:p w14:paraId="0012FDA5"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S</w:t>
      </w:r>
      <w:r w:rsidRPr="00530BBB">
        <w:rPr>
          <w:rFonts w:asciiTheme="minorHAnsi" w:hAnsiTheme="minorHAnsi" w:cstheme="minorHAnsi"/>
        </w:rPr>
        <w:t>polehlivost dat</w:t>
      </w:r>
    </w:p>
    <w:p w14:paraId="73994E3F"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N</w:t>
      </w:r>
      <w:r w:rsidRPr="00530BBB">
        <w:rPr>
          <w:rFonts w:asciiTheme="minorHAnsi" w:hAnsiTheme="minorHAnsi" w:cstheme="minorHAnsi"/>
        </w:rPr>
        <w:t>áklady na získání dat</w:t>
      </w:r>
    </w:p>
    <w:p w14:paraId="5B5BC6A4" w14:textId="77777777" w:rsidR="004702C2" w:rsidRPr="00530BBB" w:rsidRDefault="004702C2" w:rsidP="004702C2">
      <w:pPr>
        <w:ind w:firstLine="360"/>
        <w:rPr>
          <w:rFonts w:asciiTheme="minorHAnsi" w:hAnsiTheme="minorHAnsi" w:cstheme="minorHAnsi"/>
        </w:rPr>
      </w:pPr>
      <w:r w:rsidRPr="00530BBB">
        <w:rPr>
          <w:rFonts w:asciiTheme="minorHAnsi" w:hAnsiTheme="minorHAnsi" w:cstheme="minorHAnsi"/>
        </w:rPr>
        <w:t>Uveďte, kde hodláte instalovat nová měření.</w:t>
      </w:r>
    </w:p>
    <w:p w14:paraId="6AE05D83" w14:textId="1649E62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lastRenderedPageBreak/>
        <w:t>Výpočet úspory paliv, vody a energie, výpočet úspory nákladů – výše a způsob úpravy referenčních hodnot spotřeby energií</w:t>
      </w:r>
    </w:p>
    <w:p w14:paraId="3C7065E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V souladu s navrženým způsobem měření a verifikace výsledků, zvolené varianty podle IPMVP, z popsaných a získaných dat bude provedeno vyhodnocení úspory po jednotlivých objektech a po jednotlivých druzích paliv a energie. Proveďte porovnání propočtené nerealizované spotřeby/nerealizovaných nákladů nebo normalizovaných úspor/normalizovaných úspor nákladů s garantovanou spotřebou. Úspory budou vyhodnocovány měsíčně. Porovnání dosažené úspory s garantovanou úsporou bude prováděno ročně za zúčtovací období.</w:t>
      </w:r>
    </w:p>
    <w:p w14:paraId="3F02E7F9"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Zajištění kvality</w:t>
      </w:r>
    </w:p>
    <w:p w14:paraId="6D8A221B" w14:textId="2C0F215D" w:rsidR="004702C2" w:rsidRPr="00530BBB" w:rsidRDefault="004702C2" w:rsidP="004702C2">
      <w:pPr>
        <w:ind w:left="360"/>
        <w:rPr>
          <w:rFonts w:asciiTheme="minorHAnsi" w:hAnsiTheme="minorHAnsi" w:cstheme="minorHAnsi"/>
        </w:rPr>
      </w:pPr>
      <w:r w:rsidRPr="00530BBB">
        <w:rPr>
          <w:rFonts w:asciiTheme="minorHAnsi" w:hAnsiTheme="minorHAnsi" w:cstheme="minorHAnsi"/>
        </w:rPr>
        <w:t>Pro zajištění kvality komplexní služby poskytované ESCO je nezbytná součinnost ze strany Klienta, která je definována v Příloze č. 7. V popisu postupů pro zajištění kvality verifikace dosažených úspor bude věnována pozornost zejména následujícím otázkám:</w:t>
      </w:r>
    </w:p>
    <w:p w14:paraId="674B602A"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Popis zdrojů, toků, ukládání, zabezpečení a archivace dat </w:t>
      </w:r>
    </w:p>
    <w:p w14:paraId="51B51CEC"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četnosti sběru dat v rámci zúčtovacího období </w:t>
      </w:r>
    </w:p>
    <w:p w14:paraId="2C2378A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odpovědnosti za sběr dat a za průběžné vyhodnocování výsledků</w:t>
      </w:r>
    </w:p>
    <w:p w14:paraId="67D78BBB"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odpovědnosti za údržbu a za kalibraci měřidel </w:t>
      </w:r>
    </w:p>
    <w:p w14:paraId="53187D9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průběžného vyhodnocování výsledků v rámci zúčtovacího období</w:t>
      </w:r>
    </w:p>
    <w:p w14:paraId="6D960E72"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přijímání nápravných preventivních opatření na základě průběžných výsledků</w:t>
      </w:r>
    </w:p>
    <w:p w14:paraId="30B52566"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ověření správnosti naměřených dat</w:t>
      </w:r>
    </w:p>
    <w:p w14:paraId="306888CE"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termínů a odpovědností za odstranění poruch měření a sběru dat</w:t>
      </w:r>
    </w:p>
    <w:p w14:paraId="35551D0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náhradního stanovení výše dosažené úspory v případě výpadku sběru dat</w:t>
      </w:r>
    </w:p>
    <w:p w14:paraId="1D4684DC"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budou popsány postupy pro zajištění kvality.</w:t>
      </w:r>
    </w:p>
    <w:p w14:paraId="3563A910"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Průběžná zpráva o vyhodnocení úspor energie a nákladů</w:t>
      </w:r>
    </w:p>
    <w:p w14:paraId="4B59AD0B" w14:textId="5B7FB34B" w:rsidR="004702C2" w:rsidRPr="00530BBB" w:rsidRDefault="004702C2" w:rsidP="004702C2">
      <w:pPr>
        <w:ind w:left="360"/>
        <w:rPr>
          <w:rFonts w:asciiTheme="minorHAnsi" w:hAnsiTheme="minorHAnsi" w:cstheme="minorHAnsi"/>
        </w:rPr>
      </w:pPr>
      <w:r w:rsidRPr="00530BBB">
        <w:rPr>
          <w:rFonts w:asciiTheme="minorHAnsi" w:hAnsiTheme="minorHAnsi" w:cstheme="minorHAnsi"/>
        </w:rPr>
        <w:t>Jak je uvedeno v Článku 15 Smlouvy, ESCO bude ročně předkládat průběžnou zprávu hodnotící uplynulé zúčtovací období (zpráva se předkládá do 60 dnů po ukončení zúčtovacího období).</w:t>
      </w:r>
    </w:p>
    <w:p w14:paraId="4A505DDB"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Průběžné zprávy o </w:t>
      </w:r>
      <w:r w:rsidRPr="00530BBB">
        <w:rPr>
          <w:rFonts w:asciiTheme="minorHAnsi" w:hAnsiTheme="minorHAnsi" w:cstheme="minorHAnsi"/>
          <w:b/>
        </w:rPr>
        <w:t>vyhodnocení úspor energie a nákladů</w:t>
      </w:r>
      <w:r w:rsidRPr="00530BBB">
        <w:rPr>
          <w:rFonts w:asciiTheme="minorHAnsi" w:hAnsiTheme="minorHAnsi" w:cstheme="minorHAnsi"/>
        </w:rPr>
        <w:t xml:space="preserve"> budou připravovány a předkládány způsobem, definovaným v plánu M&amp;V (viz IPMVP), a proto budou zahrnovat alespoň:</w:t>
      </w:r>
    </w:p>
    <w:p w14:paraId="082D72C1"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t>Popis provozu energetického systému během zúčtovacího období; včetně popisu odchylek od standardního provozu energetického systému během zúčtovacího období;</w:t>
      </w:r>
    </w:p>
    <w:p w14:paraId="52980192"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Popis všech změn objektu, opravňujících k úpravám výchozího stavu, a výpočet potřebné úpravy sledovaných dat.</w:t>
      </w:r>
    </w:p>
    <w:p w14:paraId="2C81255E" w14:textId="4D0E1B2A"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Surová – primární data za vykazované období (energie a nezávislé proměnné), tj. sledovaná data z vykazovaného období, časové údaje o začátku a konci období, kdy se provádělo měření, energetická data a hodnoty nezávislých proměnných</w:t>
      </w:r>
    </w:p>
    <w:p w14:paraId="71834D2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Použité ceny energie nebo cenových tarifů</w:t>
      </w:r>
    </w:p>
    <w:p w14:paraId="5532DDD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U varianty A odsouhlasené odhadnuté hodnoty.</w:t>
      </w:r>
    </w:p>
    <w:p w14:paraId="1B75DF92"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Všechny podrobnosti provedených nestandardních úprav výchozího stavu. Podrobnosti by měly zahrnovat vysvětlení změny podmínek od výchozího období, všechny sledované skutečnosti a předpoklady a technické výpočty vedoucí k úpravě.</w:t>
      </w:r>
    </w:p>
    <w:p w14:paraId="140EA2AF" w14:textId="77777777" w:rsidR="004702C2" w:rsidRPr="00530BBB" w:rsidRDefault="004702C2" w:rsidP="004702C2">
      <w:pPr>
        <w:pStyle w:val="Odstavecseseznamem1"/>
        <w:numPr>
          <w:ilvl w:val="0"/>
          <w:numId w:val="11"/>
        </w:numPr>
        <w:spacing w:before="40"/>
        <w:contextualSpacing w:val="0"/>
        <w:rPr>
          <w:rFonts w:asciiTheme="minorHAnsi" w:hAnsiTheme="minorHAnsi" w:cstheme="minorHAnsi"/>
        </w:rPr>
      </w:pPr>
      <w:r w:rsidRPr="00530BBB">
        <w:rPr>
          <w:rFonts w:asciiTheme="minorHAnsi" w:hAnsiTheme="minorHAnsi" w:cstheme="minorHAnsi"/>
        </w:rPr>
        <w:lastRenderedPageBreak/>
        <w:t>Specifikaci provedených dodatečných opatření, která mají vliv na dosahovanou úsporu;</w:t>
      </w:r>
    </w:p>
    <w:p w14:paraId="1083C15C" w14:textId="3134E8B5"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t>Výši dosažených úspor paliv vody a energie v technických jednotkách – po jednotlivých areálech/objektech</w:t>
      </w:r>
    </w:p>
    <w:p w14:paraId="299D993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Výši dosažených úspor nákladů po jednotlivých areálech/objektech;</w:t>
      </w:r>
    </w:p>
    <w:p w14:paraId="1E0BFF65"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Porovnání dosažené a garantované úspory;</w:t>
      </w:r>
    </w:p>
    <w:p w14:paraId="4D51777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Závěr, zda garantované úspory bylo dosaženo či ne, příp. zda Klientovi vzniklo právo na sankci nebo ESCO vzniklo právo na prémii.</w:t>
      </w:r>
    </w:p>
    <w:p w14:paraId="49601B44"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Jméno zpracovatele průběžné zprávy a kontakty na něho</w:t>
      </w:r>
    </w:p>
    <w:p w14:paraId="0702EB27"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Podpis oprávněné osoby</w:t>
      </w:r>
    </w:p>
    <w:p w14:paraId="1603FCC7"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 xml:space="preserve">Schválená průběžná zpráva s vyhodnocením dosažených úspor za příslušné zúčtovací období, zahrnující případně připomínky Klienta k ní, je podkladem pro schválení </w:t>
      </w:r>
      <w:r w:rsidRPr="00530BBB">
        <w:rPr>
          <w:rFonts w:asciiTheme="minorHAnsi" w:hAnsiTheme="minorHAnsi" w:cstheme="minorHAnsi"/>
          <w:b/>
        </w:rPr>
        <w:t>protokolu za příslušné zúčtovací období</w:t>
      </w:r>
      <w:r w:rsidRPr="00530BBB">
        <w:rPr>
          <w:rFonts w:asciiTheme="minorHAnsi" w:hAnsiTheme="minorHAnsi" w:cstheme="minorHAnsi"/>
        </w:rPr>
        <w:t xml:space="preserve"> a je jeho povinnou přílohou spolu s dalšími informacemi, vyplývajícími z Článku 15.</w:t>
      </w:r>
    </w:p>
    <w:p w14:paraId="32052E51"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0BCEB2F8" w14:textId="77777777" w:rsidR="004702C2" w:rsidRPr="00530BBB" w:rsidRDefault="004702C2" w:rsidP="004702C2">
      <w:pPr>
        <w:pStyle w:val="Nadpis1"/>
        <w:numPr>
          <w:ilvl w:val="0"/>
          <w:numId w:val="0"/>
        </w:numPr>
        <w:rPr>
          <w:rFonts w:asciiTheme="minorHAnsi" w:hAnsiTheme="minorHAnsi" w:cstheme="minorHAnsi"/>
        </w:rPr>
      </w:pPr>
      <w:bookmarkStart w:id="6" w:name="_Toc85704333"/>
      <w:r w:rsidRPr="00530BBB">
        <w:rPr>
          <w:rFonts w:asciiTheme="minorHAnsi" w:hAnsiTheme="minorHAnsi" w:cstheme="minorHAnsi"/>
        </w:rPr>
        <w:lastRenderedPageBreak/>
        <w:t>Příloha č. 7: Energetický management</w:t>
      </w:r>
      <w:bookmarkEnd w:id="6"/>
    </w:p>
    <w:p w14:paraId="13B489E5"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101AD9B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Energetický management je nedílnou součástí služeb poskytovaných ESCO v rámci této smlouvy, je nezbytný pro dosažení garantované úspory, pro její prokázání a pro její vyhodnocení. Zahrnuje i doporučování dalších možností, jak zlepšit hospodaření s energií.</w:t>
      </w:r>
    </w:p>
    <w:p w14:paraId="711E9B1D" w14:textId="55D04869" w:rsidR="004702C2" w:rsidRPr="00530BBB" w:rsidRDefault="004702C2" w:rsidP="004702C2">
      <w:pPr>
        <w:rPr>
          <w:rFonts w:asciiTheme="minorHAnsi" w:hAnsiTheme="minorHAnsi" w:cstheme="minorHAnsi"/>
        </w:rPr>
      </w:pPr>
      <w:r w:rsidRPr="00530BBB">
        <w:rPr>
          <w:rFonts w:asciiTheme="minorHAnsi" w:hAnsiTheme="minorHAnsi" w:cstheme="minorHAnsi"/>
        </w:rPr>
        <w:t>Energetický management není možné vykonávat bez náležité smluvně sjednané součinnosti Klienta. Proto bude v této příloze definován:</w:t>
      </w:r>
    </w:p>
    <w:p w14:paraId="3E31A7BD"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Energetický management – činnosti a povinnosti ESCO - zahrnuje zejména činnosti uvedené v Článku 11, které budou podrobně rozepsány v této příloze.</w:t>
      </w:r>
    </w:p>
    <w:p w14:paraId="11FCCF69"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Energetický management – ostatní činnosti a povinnosti Klienta požadované se strany ESCO</w:t>
      </w:r>
    </w:p>
    <w:p w14:paraId="2AADA924" w14:textId="77777777" w:rsidR="004702C2" w:rsidRPr="00530BBB" w:rsidRDefault="004702C2" w:rsidP="004702C2">
      <w:pPr>
        <w:spacing w:before="0" w:line="240" w:lineRule="auto"/>
        <w:jc w:val="left"/>
        <w:rPr>
          <w:rFonts w:asciiTheme="minorHAnsi" w:hAnsiTheme="minorHAnsi" w:cstheme="minorHAnsi"/>
          <w:szCs w:val="22"/>
          <w:lang w:eastAsia="en-US"/>
        </w:rPr>
      </w:pPr>
      <w:r w:rsidRPr="00530BBB">
        <w:rPr>
          <w:rFonts w:asciiTheme="minorHAnsi" w:hAnsiTheme="minorHAnsi" w:cstheme="minorHAnsi"/>
        </w:rPr>
        <w:br w:type="page"/>
      </w:r>
    </w:p>
    <w:p w14:paraId="633E942E" w14:textId="77777777" w:rsidR="004702C2" w:rsidRPr="00530BBB" w:rsidRDefault="004702C2" w:rsidP="004702C2">
      <w:pPr>
        <w:pStyle w:val="Nadpis1"/>
        <w:numPr>
          <w:ilvl w:val="0"/>
          <w:numId w:val="0"/>
        </w:numPr>
        <w:rPr>
          <w:rFonts w:asciiTheme="minorHAnsi" w:hAnsiTheme="minorHAnsi" w:cstheme="minorHAnsi"/>
        </w:rPr>
      </w:pPr>
      <w:bookmarkStart w:id="7" w:name="_Toc85704334"/>
      <w:r w:rsidRPr="00530BBB">
        <w:rPr>
          <w:rFonts w:asciiTheme="minorHAnsi" w:hAnsiTheme="minorHAnsi" w:cstheme="minorHAnsi"/>
        </w:rPr>
        <w:lastRenderedPageBreak/>
        <w:t>Příloha č. 8: Oprávněné osoby</w:t>
      </w:r>
      <w:bookmarkEnd w:id="7"/>
    </w:p>
    <w:p w14:paraId="72C79B33"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rPr>
        <w:t xml:space="preserve">Doplní </w:t>
      </w:r>
      <w:r w:rsidRPr="00E93AB4">
        <w:rPr>
          <w:rFonts w:asciiTheme="minorHAnsi" w:hAnsiTheme="minorHAnsi" w:cstheme="minorHAnsi"/>
          <w:i/>
          <w:iCs/>
          <w:highlight w:val="yellow"/>
        </w:rPr>
        <w:t>ESCO</w:t>
      </w:r>
      <w:r w:rsidRPr="00E93AB4">
        <w:rPr>
          <w:rFonts w:asciiTheme="minorHAnsi" w:hAnsiTheme="minorHAnsi" w:cstheme="minorHAnsi"/>
          <w:i/>
          <w:iCs/>
        </w:rPr>
        <w:t xml:space="preserve"> i </w:t>
      </w:r>
      <w:r w:rsidRPr="00E93AB4">
        <w:rPr>
          <w:rFonts w:asciiTheme="minorHAnsi" w:hAnsiTheme="minorHAnsi" w:cstheme="minorHAnsi"/>
          <w:i/>
          <w:iCs/>
          <w:highlight w:val="cyan"/>
        </w:rPr>
        <w:t>Klient</w:t>
      </w:r>
    </w:p>
    <w:p w14:paraId="6E99E258" w14:textId="0AF08BA6"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Budou uvedeny oprávněné osoby ESCO, které odpovídají za jednotlivé fáze </w:t>
      </w:r>
      <w:r w:rsidR="00E663E3">
        <w:rPr>
          <w:rFonts w:asciiTheme="minorHAnsi" w:hAnsiTheme="minorHAnsi" w:cstheme="minorHAnsi"/>
        </w:rPr>
        <w:t>akce</w:t>
      </w:r>
      <w:r w:rsidR="00E663E3" w:rsidRPr="00530BBB">
        <w:rPr>
          <w:rFonts w:asciiTheme="minorHAnsi" w:hAnsiTheme="minorHAnsi" w:cstheme="minorHAnsi"/>
        </w:rPr>
        <w:t xml:space="preserve"> </w:t>
      </w:r>
      <w:r w:rsidRPr="00530BBB">
        <w:rPr>
          <w:rFonts w:asciiTheme="minorHAnsi" w:hAnsiTheme="minorHAnsi" w:cstheme="minorHAnsi"/>
        </w:rPr>
        <w:t>EPC a za</w:t>
      </w:r>
      <w:r w:rsidR="001C4B31">
        <w:rPr>
          <w:rFonts w:asciiTheme="minorHAnsi" w:hAnsiTheme="minorHAnsi" w:cstheme="minorHAnsi"/>
        </w:rPr>
        <w:t xml:space="preserve"> </w:t>
      </w:r>
      <w:r w:rsidR="00E663E3">
        <w:rPr>
          <w:rFonts w:asciiTheme="minorHAnsi" w:hAnsiTheme="minorHAnsi" w:cstheme="minorHAnsi"/>
        </w:rPr>
        <w:t>akci</w:t>
      </w:r>
      <w:r w:rsidR="00E663E3" w:rsidRPr="00530BBB">
        <w:rPr>
          <w:rFonts w:asciiTheme="minorHAnsi" w:hAnsiTheme="minorHAnsi" w:cstheme="minorHAnsi"/>
        </w:rPr>
        <w:t xml:space="preserve"> </w:t>
      </w:r>
      <w:r w:rsidRPr="00530BBB">
        <w:rPr>
          <w:rFonts w:asciiTheme="minorHAnsi" w:hAnsiTheme="minorHAnsi" w:cstheme="minorHAnsi"/>
        </w:rPr>
        <w:t>jako celek.</w:t>
      </w:r>
    </w:p>
    <w:p w14:paraId="208D3CB0"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uvede před uzavřením smlouvy také Klient pověřené osoby pro jednotlivé objekty a za Klienta celkem.</w:t>
      </w:r>
    </w:p>
    <w:p w14:paraId="655DE302" w14:textId="77777777" w:rsidR="004702C2" w:rsidRPr="00530BBB" w:rsidRDefault="004702C2" w:rsidP="004702C2">
      <w:pPr>
        <w:spacing w:before="0"/>
        <w:jc w:val="left"/>
        <w:rPr>
          <w:rFonts w:asciiTheme="minorHAnsi" w:hAnsiTheme="minorHAnsi" w:cstheme="minorHAnsi"/>
        </w:rPr>
      </w:pPr>
      <w:r w:rsidRPr="00530BBB">
        <w:rPr>
          <w:rFonts w:asciiTheme="minorHAnsi" w:hAnsiTheme="minorHAnsi" w:cstheme="minorHAnsi"/>
        </w:rPr>
        <w:br w:type="page"/>
      </w:r>
    </w:p>
    <w:p w14:paraId="5DDAB0F8" w14:textId="77777777" w:rsidR="004702C2" w:rsidRPr="00530BBB" w:rsidRDefault="004702C2" w:rsidP="004702C2">
      <w:pPr>
        <w:pStyle w:val="Nadpis1"/>
        <w:numPr>
          <w:ilvl w:val="0"/>
          <w:numId w:val="0"/>
        </w:numPr>
        <w:rPr>
          <w:rFonts w:asciiTheme="minorHAnsi" w:hAnsiTheme="minorHAnsi" w:cstheme="minorHAnsi"/>
        </w:rPr>
      </w:pPr>
      <w:bookmarkStart w:id="8" w:name="_Toc85704335"/>
      <w:r w:rsidRPr="00530BBB">
        <w:rPr>
          <w:rFonts w:asciiTheme="minorHAnsi" w:hAnsiTheme="minorHAnsi" w:cstheme="minorHAnsi"/>
        </w:rPr>
        <w:lastRenderedPageBreak/>
        <w:t>Příloha č. 9: Seznam poddodavatelů</w:t>
      </w:r>
      <w:bookmarkEnd w:id="8"/>
    </w:p>
    <w:p w14:paraId="29C413DB"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743BBF2" w14:textId="2F6AA1B9" w:rsidR="004702C2" w:rsidRPr="00530BBB" w:rsidRDefault="004702C2" w:rsidP="00897403">
      <w:pPr>
        <w:rPr>
          <w:rFonts w:asciiTheme="minorHAnsi" w:hAnsiTheme="minorHAnsi" w:cstheme="minorHAnsi"/>
        </w:rPr>
      </w:pPr>
      <w:r w:rsidRPr="00530BBB">
        <w:rPr>
          <w:rFonts w:asciiTheme="minorHAnsi" w:hAnsiTheme="minorHAnsi" w:cstheme="minorHAnsi"/>
        </w:rPr>
        <w:t>V této příloze uvede ESCO všechny poddodavatele (jméno, IČO, předmět plnění), kteří se budou podílet na plnění předmětu smlouvy podílem větším než 10 % z objemu ceny základních opatření (z ceny investice).</w:t>
      </w:r>
    </w:p>
    <w:sectPr w:rsidR="004702C2" w:rsidRPr="00530BBB" w:rsidSect="00755704">
      <w:headerReference w:type="default" r:id="rId10"/>
      <w:footerReference w:type="default" r:id="rId11"/>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D3BABF" w14:textId="77777777" w:rsidR="00272A61" w:rsidRDefault="00272A61" w:rsidP="004702C2">
      <w:pPr>
        <w:spacing w:before="0" w:line="240" w:lineRule="auto"/>
      </w:pPr>
      <w:r>
        <w:separator/>
      </w:r>
    </w:p>
  </w:endnote>
  <w:endnote w:type="continuationSeparator" w:id="0">
    <w:p w14:paraId="3144B470" w14:textId="77777777" w:rsidR="00272A61" w:rsidRDefault="00272A61" w:rsidP="004702C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Ebrima">
    <w:panose1 w:val="02000000000000000000"/>
    <w:charset w:val="EE"/>
    <w:family w:val="auto"/>
    <w:pitch w:val="variable"/>
    <w:sig w:usb0="A000005F" w:usb1="02000041" w:usb2="000008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2044A" w14:textId="3D0A9F7A" w:rsidR="00C34B0A" w:rsidRPr="00DC7808" w:rsidRDefault="00E9258D" w:rsidP="00C22923">
    <w:pPr>
      <w:pStyle w:val="Zpat"/>
      <w:tabs>
        <w:tab w:val="clear" w:pos="4536"/>
      </w:tabs>
      <w:rPr>
        <w:szCs w:val="16"/>
      </w:rPr>
    </w:pPr>
    <w:r w:rsidRPr="00DC7808">
      <w:rPr>
        <w:rStyle w:val="slostrnky"/>
        <w:szCs w:val="16"/>
      </w:rPr>
      <w:tab/>
    </w:r>
    <w:r w:rsidRPr="00DC7808">
      <w:rPr>
        <w:rStyle w:val="slostrnky"/>
        <w:szCs w:val="16"/>
      </w:rPr>
      <w:fldChar w:fldCharType="begin"/>
    </w:r>
    <w:r w:rsidRPr="00DC7808">
      <w:rPr>
        <w:rStyle w:val="slostrnky"/>
        <w:szCs w:val="16"/>
      </w:rPr>
      <w:instrText xml:space="preserve"> PAGE </w:instrText>
    </w:r>
    <w:r w:rsidRPr="00DC7808">
      <w:rPr>
        <w:rStyle w:val="slostrnky"/>
        <w:szCs w:val="16"/>
      </w:rPr>
      <w:fldChar w:fldCharType="separate"/>
    </w:r>
    <w:r w:rsidR="00B3781D">
      <w:rPr>
        <w:rStyle w:val="slostrnky"/>
        <w:noProof/>
        <w:szCs w:val="16"/>
      </w:rPr>
      <w:t>20</w:t>
    </w:r>
    <w:r w:rsidRPr="00DC7808">
      <w:rPr>
        <w:rStyle w:val="slostrnky"/>
        <w:szCs w:val="16"/>
      </w:rPr>
      <w:fldChar w:fldCharType="end"/>
    </w:r>
    <w:r w:rsidRPr="00DC7808">
      <w:rPr>
        <w:rStyle w:val="slostrnky"/>
        <w:szCs w:val="16"/>
      </w:rPr>
      <w:t>/</w:t>
    </w:r>
    <w:r>
      <w:rPr>
        <w:rStyle w:val="slostrnky"/>
        <w:noProof/>
        <w:szCs w:val="16"/>
      </w:rPr>
      <w:fldChar w:fldCharType="begin"/>
    </w:r>
    <w:r>
      <w:rPr>
        <w:rStyle w:val="slostrnky"/>
        <w:noProof/>
        <w:szCs w:val="16"/>
      </w:rPr>
      <w:instrText xml:space="preserve"> NUMPAGES   \* MERGEFORMAT </w:instrText>
    </w:r>
    <w:r>
      <w:rPr>
        <w:rStyle w:val="slostrnky"/>
        <w:noProof/>
        <w:szCs w:val="16"/>
      </w:rPr>
      <w:fldChar w:fldCharType="separate"/>
    </w:r>
    <w:r w:rsidR="00B3781D">
      <w:rPr>
        <w:rStyle w:val="slostrnky"/>
        <w:noProof/>
        <w:szCs w:val="16"/>
      </w:rPr>
      <w:t>20</w:t>
    </w:r>
    <w:r>
      <w:rPr>
        <w:rStyle w:val="slostrnky"/>
        <w:noProof/>
        <w:szCs w:val="16"/>
      </w:rPr>
      <w:fldChar w:fldCharType="end"/>
    </w:r>
  </w:p>
  <w:p w14:paraId="315FC81B" w14:textId="77777777" w:rsidR="00217A88" w:rsidRDefault="00217A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71DF8C" w14:textId="77777777" w:rsidR="00272A61" w:rsidRDefault="00272A61" w:rsidP="004702C2">
      <w:pPr>
        <w:spacing w:before="0" w:line="240" w:lineRule="auto"/>
      </w:pPr>
      <w:r>
        <w:separator/>
      </w:r>
    </w:p>
  </w:footnote>
  <w:footnote w:type="continuationSeparator" w:id="0">
    <w:p w14:paraId="77AADC9C" w14:textId="77777777" w:rsidR="00272A61" w:rsidRDefault="00272A61" w:rsidP="004702C2">
      <w:pPr>
        <w:spacing w:before="0" w:line="240" w:lineRule="auto"/>
      </w:pPr>
      <w:r>
        <w:continuationSeparator/>
      </w:r>
    </w:p>
  </w:footnote>
  <w:footnote w:id="1">
    <w:p w14:paraId="57A34849" w14:textId="77777777" w:rsidR="004702C2" w:rsidRDefault="004702C2" w:rsidP="004702C2">
      <w:pPr>
        <w:pStyle w:val="Textpoznpodarou"/>
        <w:ind w:right="1440"/>
      </w:pPr>
      <w:r w:rsidRPr="009E216F">
        <w:rPr>
          <w:rStyle w:val="Znakapoznpodarou"/>
          <w:rFonts w:ascii="Arial" w:hAnsi="Arial"/>
          <w:sz w:val="18"/>
        </w:rPr>
        <w:footnoteRef/>
      </w:r>
      <w:r w:rsidRPr="00F0632D">
        <w:rPr>
          <w:rFonts w:ascii="Arial" w:hAnsi="Arial"/>
          <w:sz w:val="18"/>
          <w:lang w:val="es-ES"/>
        </w:rPr>
        <w:t xml:space="preserve"> </w:t>
      </w:r>
      <w:r w:rsidRPr="00F0632D">
        <w:rPr>
          <w:rFonts w:ascii="Arial" w:hAnsi="Arial"/>
          <w:i/>
          <w:iCs/>
          <w:sz w:val="18"/>
          <w:lang w:val="es-ES"/>
        </w:rPr>
        <w:t>Úpravy</w:t>
      </w:r>
      <w:r w:rsidRPr="00F0632D">
        <w:rPr>
          <w:rFonts w:ascii="Arial" w:hAnsi="Arial"/>
          <w:sz w:val="18"/>
          <w:lang w:val="es-ES"/>
        </w:rPr>
        <w:t xml:space="preserve"> jsou míněny odpovídající úpravy, popsané v </w:t>
      </w:r>
      <w:r>
        <w:rPr>
          <w:rFonts w:ascii="Arial" w:hAnsi="Arial"/>
          <w:sz w:val="18"/>
          <w:lang w:val="es-ES"/>
        </w:rPr>
        <w:t>bodu</w:t>
      </w:r>
      <w:r w:rsidRPr="00F0632D">
        <w:rPr>
          <w:rFonts w:ascii="Arial" w:hAnsi="Arial"/>
          <w:sz w:val="18"/>
          <w:lang w:val="es-ES"/>
        </w:rPr>
        <w:t xml:space="preserve">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8EC11" w14:textId="77777777" w:rsidR="00C34B0A" w:rsidRPr="0043201E" w:rsidRDefault="00E9258D" w:rsidP="0043201E">
    <w:pPr>
      <w:pBdr>
        <w:bottom w:val="single" w:sz="2" w:space="1" w:color="auto"/>
      </w:pBdr>
      <w:tabs>
        <w:tab w:val="right" w:pos="9072"/>
      </w:tabs>
      <w:spacing w:before="0" w:line="80" w:lineRule="atLeast"/>
      <w:jc w:val="center"/>
      <w:rPr>
        <w:rFonts w:ascii="Arial" w:hAnsi="Arial"/>
        <w:sz w:val="16"/>
      </w:rPr>
    </w:pPr>
    <w:r>
      <w:rPr>
        <w:rFonts w:ascii="Arial" w:hAnsi="Arial"/>
        <w:sz w:val="16"/>
      </w:rPr>
      <w:t>Přílohy smlouvy</w:t>
    </w:r>
    <w:r w:rsidRPr="0043201E">
      <w:rPr>
        <w:rFonts w:ascii="Arial" w:hAnsi="Arial"/>
        <w:sz w:val="16"/>
      </w:rPr>
      <w:t xml:space="preserve"> o energetických službách určených veřejnému zadavateli</w:t>
    </w:r>
  </w:p>
  <w:p w14:paraId="52CA96A5" w14:textId="77777777" w:rsidR="00217A88" w:rsidRDefault="00217A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1" w15:restartNumberingAfterBreak="0">
    <w:nsid w:val="02B5018B"/>
    <w:multiLevelType w:val="hybridMultilevel"/>
    <w:tmpl w:val="DECA7D7C"/>
    <w:lvl w:ilvl="0" w:tplc="6FE63826">
      <w:start w:val="1"/>
      <w:numFmt w:val="bullet"/>
      <w:lvlText w:val="•"/>
      <w:lvlJc w:val="left"/>
      <w:pPr>
        <w:tabs>
          <w:tab w:val="num" w:pos="720"/>
        </w:tabs>
        <w:ind w:left="720" w:hanging="360"/>
      </w:pPr>
      <w:rPr>
        <w:rFonts w:ascii="Times New Roman" w:hAnsi="Times New Roman" w:hint="default"/>
      </w:rPr>
    </w:lvl>
    <w:lvl w:ilvl="1" w:tplc="629A4112" w:tentative="1">
      <w:start w:val="1"/>
      <w:numFmt w:val="bullet"/>
      <w:lvlText w:val="•"/>
      <w:lvlJc w:val="left"/>
      <w:pPr>
        <w:tabs>
          <w:tab w:val="num" w:pos="1440"/>
        </w:tabs>
        <w:ind w:left="1440" w:hanging="360"/>
      </w:pPr>
      <w:rPr>
        <w:rFonts w:ascii="Times New Roman" w:hAnsi="Times New Roman" w:hint="default"/>
      </w:rPr>
    </w:lvl>
    <w:lvl w:ilvl="2" w:tplc="B596BD00" w:tentative="1">
      <w:start w:val="1"/>
      <w:numFmt w:val="bullet"/>
      <w:lvlText w:val="•"/>
      <w:lvlJc w:val="left"/>
      <w:pPr>
        <w:tabs>
          <w:tab w:val="num" w:pos="2160"/>
        </w:tabs>
        <w:ind w:left="2160" w:hanging="360"/>
      </w:pPr>
      <w:rPr>
        <w:rFonts w:ascii="Times New Roman" w:hAnsi="Times New Roman" w:hint="default"/>
      </w:rPr>
    </w:lvl>
    <w:lvl w:ilvl="3" w:tplc="50E48D6A" w:tentative="1">
      <w:start w:val="1"/>
      <w:numFmt w:val="bullet"/>
      <w:lvlText w:val="•"/>
      <w:lvlJc w:val="left"/>
      <w:pPr>
        <w:tabs>
          <w:tab w:val="num" w:pos="2880"/>
        </w:tabs>
        <w:ind w:left="2880" w:hanging="360"/>
      </w:pPr>
      <w:rPr>
        <w:rFonts w:ascii="Times New Roman" w:hAnsi="Times New Roman" w:hint="default"/>
      </w:rPr>
    </w:lvl>
    <w:lvl w:ilvl="4" w:tplc="7FA8D0C6" w:tentative="1">
      <w:start w:val="1"/>
      <w:numFmt w:val="bullet"/>
      <w:lvlText w:val="•"/>
      <w:lvlJc w:val="left"/>
      <w:pPr>
        <w:tabs>
          <w:tab w:val="num" w:pos="3600"/>
        </w:tabs>
        <w:ind w:left="3600" w:hanging="360"/>
      </w:pPr>
      <w:rPr>
        <w:rFonts w:ascii="Times New Roman" w:hAnsi="Times New Roman" w:hint="default"/>
      </w:rPr>
    </w:lvl>
    <w:lvl w:ilvl="5" w:tplc="DEC24578" w:tentative="1">
      <w:start w:val="1"/>
      <w:numFmt w:val="bullet"/>
      <w:lvlText w:val="•"/>
      <w:lvlJc w:val="left"/>
      <w:pPr>
        <w:tabs>
          <w:tab w:val="num" w:pos="4320"/>
        </w:tabs>
        <w:ind w:left="4320" w:hanging="360"/>
      </w:pPr>
      <w:rPr>
        <w:rFonts w:ascii="Times New Roman" w:hAnsi="Times New Roman" w:hint="default"/>
      </w:rPr>
    </w:lvl>
    <w:lvl w:ilvl="6" w:tplc="A128F24C" w:tentative="1">
      <w:start w:val="1"/>
      <w:numFmt w:val="bullet"/>
      <w:lvlText w:val="•"/>
      <w:lvlJc w:val="left"/>
      <w:pPr>
        <w:tabs>
          <w:tab w:val="num" w:pos="5040"/>
        </w:tabs>
        <w:ind w:left="5040" w:hanging="360"/>
      </w:pPr>
      <w:rPr>
        <w:rFonts w:ascii="Times New Roman" w:hAnsi="Times New Roman" w:hint="default"/>
      </w:rPr>
    </w:lvl>
    <w:lvl w:ilvl="7" w:tplc="DBD6324C" w:tentative="1">
      <w:start w:val="1"/>
      <w:numFmt w:val="bullet"/>
      <w:lvlText w:val="•"/>
      <w:lvlJc w:val="left"/>
      <w:pPr>
        <w:tabs>
          <w:tab w:val="num" w:pos="5760"/>
        </w:tabs>
        <w:ind w:left="5760" w:hanging="360"/>
      </w:pPr>
      <w:rPr>
        <w:rFonts w:ascii="Times New Roman" w:hAnsi="Times New Roman" w:hint="default"/>
      </w:rPr>
    </w:lvl>
    <w:lvl w:ilvl="8" w:tplc="1676095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3B44C4B"/>
    <w:multiLevelType w:val="hybridMultilevel"/>
    <w:tmpl w:val="190659C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7A0840"/>
    <w:multiLevelType w:val="hybridMultilevel"/>
    <w:tmpl w:val="642454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E51D3C"/>
    <w:multiLevelType w:val="hybridMultilevel"/>
    <w:tmpl w:val="88FA795C"/>
    <w:lvl w:ilvl="0" w:tplc="3F785A34">
      <w:start w:val="1"/>
      <w:numFmt w:val="bullet"/>
      <w:lvlText w:val="•"/>
      <w:lvlJc w:val="left"/>
      <w:pPr>
        <w:tabs>
          <w:tab w:val="num" w:pos="720"/>
        </w:tabs>
        <w:ind w:left="720" w:hanging="360"/>
      </w:pPr>
      <w:rPr>
        <w:rFonts w:ascii="Times New Roman" w:hAnsi="Times New Roman" w:hint="default"/>
      </w:rPr>
    </w:lvl>
    <w:lvl w:ilvl="1" w:tplc="058C37B0">
      <w:start w:val="1"/>
      <w:numFmt w:val="bullet"/>
      <w:lvlText w:val="•"/>
      <w:lvlJc w:val="left"/>
      <w:pPr>
        <w:tabs>
          <w:tab w:val="num" w:pos="1440"/>
        </w:tabs>
        <w:ind w:left="1440" w:hanging="360"/>
      </w:pPr>
      <w:rPr>
        <w:rFonts w:ascii="Times New Roman" w:hAnsi="Times New Roman" w:hint="default"/>
      </w:rPr>
    </w:lvl>
    <w:lvl w:ilvl="2" w:tplc="E27C30C8">
      <w:start w:val="1"/>
      <w:numFmt w:val="bullet"/>
      <w:lvlText w:val="•"/>
      <w:lvlJc w:val="left"/>
      <w:pPr>
        <w:tabs>
          <w:tab w:val="num" w:pos="2160"/>
        </w:tabs>
        <w:ind w:left="2160" w:hanging="360"/>
      </w:pPr>
      <w:rPr>
        <w:rFonts w:ascii="Times New Roman" w:hAnsi="Times New Roman" w:hint="default"/>
      </w:rPr>
    </w:lvl>
    <w:lvl w:ilvl="3" w:tplc="C51EC3C6" w:tentative="1">
      <w:start w:val="1"/>
      <w:numFmt w:val="bullet"/>
      <w:lvlText w:val="•"/>
      <w:lvlJc w:val="left"/>
      <w:pPr>
        <w:tabs>
          <w:tab w:val="num" w:pos="2880"/>
        </w:tabs>
        <w:ind w:left="2880" w:hanging="360"/>
      </w:pPr>
      <w:rPr>
        <w:rFonts w:ascii="Times New Roman" w:hAnsi="Times New Roman" w:hint="default"/>
      </w:rPr>
    </w:lvl>
    <w:lvl w:ilvl="4" w:tplc="FDCC2F32" w:tentative="1">
      <w:start w:val="1"/>
      <w:numFmt w:val="bullet"/>
      <w:lvlText w:val="•"/>
      <w:lvlJc w:val="left"/>
      <w:pPr>
        <w:tabs>
          <w:tab w:val="num" w:pos="3600"/>
        </w:tabs>
        <w:ind w:left="3600" w:hanging="360"/>
      </w:pPr>
      <w:rPr>
        <w:rFonts w:ascii="Times New Roman" w:hAnsi="Times New Roman" w:hint="default"/>
      </w:rPr>
    </w:lvl>
    <w:lvl w:ilvl="5" w:tplc="1932EF3A" w:tentative="1">
      <w:start w:val="1"/>
      <w:numFmt w:val="bullet"/>
      <w:lvlText w:val="•"/>
      <w:lvlJc w:val="left"/>
      <w:pPr>
        <w:tabs>
          <w:tab w:val="num" w:pos="4320"/>
        </w:tabs>
        <w:ind w:left="4320" w:hanging="360"/>
      </w:pPr>
      <w:rPr>
        <w:rFonts w:ascii="Times New Roman" w:hAnsi="Times New Roman" w:hint="default"/>
      </w:rPr>
    </w:lvl>
    <w:lvl w:ilvl="6" w:tplc="19C2821E" w:tentative="1">
      <w:start w:val="1"/>
      <w:numFmt w:val="bullet"/>
      <w:lvlText w:val="•"/>
      <w:lvlJc w:val="left"/>
      <w:pPr>
        <w:tabs>
          <w:tab w:val="num" w:pos="5040"/>
        </w:tabs>
        <w:ind w:left="5040" w:hanging="360"/>
      </w:pPr>
      <w:rPr>
        <w:rFonts w:ascii="Times New Roman" w:hAnsi="Times New Roman" w:hint="default"/>
      </w:rPr>
    </w:lvl>
    <w:lvl w:ilvl="7" w:tplc="3AD4410C" w:tentative="1">
      <w:start w:val="1"/>
      <w:numFmt w:val="bullet"/>
      <w:lvlText w:val="•"/>
      <w:lvlJc w:val="left"/>
      <w:pPr>
        <w:tabs>
          <w:tab w:val="num" w:pos="5760"/>
        </w:tabs>
        <w:ind w:left="5760" w:hanging="360"/>
      </w:pPr>
      <w:rPr>
        <w:rFonts w:ascii="Times New Roman" w:hAnsi="Times New Roman" w:hint="default"/>
      </w:rPr>
    </w:lvl>
    <w:lvl w:ilvl="8" w:tplc="DD8608D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C1C3FF8"/>
    <w:multiLevelType w:val="hybridMultilevel"/>
    <w:tmpl w:val="BA7A4976"/>
    <w:lvl w:ilvl="0" w:tplc="8866555A">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 w15:restartNumberingAfterBreak="0">
    <w:nsid w:val="0FCD65A1"/>
    <w:multiLevelType w:val="hybridMultilevel"/>
    <w:tmpl w:val="80A0F114"/>
    <w:lvl w:ilvl="0" w:tplc="04050017">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8" w15:restartNumberingAfterBreak="0">
    <w:nsid w:val="126134F1"/>
    <w:multiLevelType w:val="hybridMultilevel"/>
    <w:tmpl w:val="8FC61BA2"/>
    <w:lvl w:ilvl="0" w:tplc="1F9E654A">
      <w:start w:val="1"/>
      <w:numFmt w:val="bullet"/>
      <w:lvlText w:val="•"/>
      <w:lvlJc w:val="left"/>
      <w:pPr>
        <w:ind w:left="720" w:hanging="36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6C2FEC"/>
    <w:multiLevelType w:val="hybridMultilevel"/>
    <w:tmpl w:val="3DC4F49C"/>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0" w15:restartNumberingAfterBreak="0">
    <w:nsid w:val="1C3E1FDC"/>
    <w:multiLevelType w:val="multilevel"/>
    <w:tmpl w:val="6A8027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52766A"/>
    <w:multiLevelType w:val="hybridMultilevel"/>
    <w:tmpl w:val="903A6C56"/>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8A159A"/>
    <w:multiLevelType w:val="multilevel"/>
    <w:tmpl w:val="99968C38"/>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2"/>
      <w:lvlText w:val="%1.%2"/>
      <w:lvlJc w:val="left"/>
      <w:pPr>
        <w:tabs>
          <w:tab w:val="num" w:pos="1247"/>
        </w:tabs>
        <w:ind w:left="1247" w:hanging="680"/>
      </w:pPr>
      <w:rPr>
        <w:rFonts w:hint="default"/>
        <w:b/>
        <w:i w:val="0"/>
        <w:sz w:val="21"/>
      </w:rPr>
    </w:lvl>
    <w:lvl w:ilvl="2">
      <w:start w:val="1"/>
      <w:numFmt w:val="decimal"/>
      <w:lvlText w:val="%1.%2.%3"/>
      <w:lvlJc w:val="left"/>
      <w:pPr>
        <w:tabs>
          <w:tab w:val="num" w:pos="2234"/>
        </w:tabs>
        <w:ind w:left="2234" w:hanging="794"/>
      </w:pPr>
      <w:rPr>
        <w:rFonts w:hint="default"/>
        <w:b/>
        <w:i w:val="0"/>
        <w:sz w:val="17"/>
      </w:rPr>
    </w:lvl>
    <w:lvl w:ilvl="3">
      <w:start w:val="1"/>
      <w:numFmt w:val="lowerRoman"/>
      <w:pStyle w:val="Level3"/>
      <w:lvlText w:val="(%4)"/>
      <w:lvlJc w:val="left"/>
      <w:pPr>
        <w:tabs>
          <w:tab w:val="num" w:pos="2721"/>
        </w:tabs>
        <w:ind w:left="2721" w:hanging="680"/>
      </w:pPr>
      <w:rPr>
        <w:rFonts w:hint="default"/>
      </w:rPr>
    </w:lvl>
    <w:lvl w:ilvl="4">
      <w:start w:val="1"/>
      <w:numFmt w:val="lowerLetter"/>
      <w:lvlText w:val="(%5)"/>
      <w:lvlJc w:val="left"/>
      <w:pPr>
        <w:tabs>
          <w:tab w:val="num" w:pos="3288"/>
        </w:tabs>
        <w:ind w:left="3288" w:hanging="567"/>
      </w:pPr>
      <w:rPr>
        <w:rFonts w:hint="default"/>
      </w:rPr>
    </w:lvl>
    <w:lvl w:ilvl="5">
      <w:start w:val="1"/>
      <w:numFmt w:val="upperRoman"/>
      <w:lvlText w:val="(%6)"/>
      <w:lvlJc w:val="left"/>
      <w:pPr>
        <w:tabs>
          <w:tab w:val="num" w:pos="3969"/>
        </w:tabs>
        <w:ind w:left="3969" w:hanging="681"/>
      </w:pPr>
      <w:rPr>
        <w:rFonts w:hint="default"/>
      </w:rPr>
    </w:lvl>
    <w:lvl w:ilvl="6">
      <w:start w:val="1"/>
      <w:numFmt w:val="none"/>
      <w:pStyle w:val="Level5"/>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13" w15:restartNumberingAfterBreak="0">
    <w:nsid w:val="36E36D02"/>
    <w:multiLevelType w:val="hybridMultilevel"/>
    <w:tmpl w:val="81BA1F0C"/>
    <w:lvl w:ilvl="0" w:tplc="B112ADD6">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AB4B29"/>
    <w:multiLevelType w:val="hybridMultilevel"/>
    <w:tmpl w:val="EE2CA8D0"/>
    <w:lvl w:ilvl="0" w:tplc="A782CCA8">
      <w:start w:val="1"/>
      <w:numFmt w:val="decimal"/>
      <w:lvlText w:val="%1."/>
      <w:lvlJc w:val="left"/>
      <w:pPr>
        <w:ind w:left="360" w:hanging="360"/>
      </w:pPr>
      <w:rPr>
        <w:rFonts w:ascii="Arial" w:hAnsi="Arial" w:cs="Times New Roman" w:hint="default"/>
        <w:b/>
        <w:i w:val="0"/>
        <w:sz w:val="2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5" w15:restartNumberingAfterBreak="0">
    <w:nsid w:val="43740A2E"/>
    <w:multiLevelType w:val="hybridMultilevel"/>
    <w:tmpl w:val="73E0B832"/>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4650C7C"/>
    <w:multiLevelType w:val="hybridMultilevel"/>
    <w:tmpl w:val="67745318"/>
    <w:lvl w:ilvl="0" w:tplc="1F9E654A">
      <w:start w:val="1"/>
      <w:numFmt w:val="bullet"/>
      <w:lvlText w:val="•"/>
      <w:lvlJc w:val="left"/>
      <w:pPr>
        <w:ind w:left="1068" w:hanging="360"/>
      </w:pPr>
      <w:rPr>
        <w:rFonts w:ascii="Times New Roman" w:hAnsi="Times New Roman"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534126C2"/>
    <w:multiLevelType w:val="hybridMultilevel"/>
    <w:tmpl w:val="2A320F4C"/>
    <w:lvl w:ilvl="0" w:tplc="9EE2AB3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54C37253"/>
    <w:multiLevelType w:val="multilevel"/>
    <w:tmpl w:val="0FB04F18"/>
    <w:lvl w:ilvl="0">
      <w:start w:val="1"/>
      <w:numFmt w:val="decimal"/>
      <w:pStyle w:val="Nadpis1"/>
      <w:suff w:val="nothing"/>
      <w:lvlText w:val="Článek %1."/>
      <w:lvlJc w:val="left"/>
      <w:pPr>
        <w:ind w:left="5529" w:firstLine="0"/>
      </w:pPr>
      <w:rPr>
        <w:rFonts w:ascii="Calibri" w:hAnsi="Calibri" w:hint="default"/>
        <w:b/>
        <w:i w:val="0"/>
        <w:sz w:val="24"/>
      </w:rPr>
    </w:lvl>
    <w:lvl w:ilvl="1">
      <w:start w:val="1"/>
      <w:numFmt w:val="decimal"/>
      <w:pStyle w:val="Nadpis2"/>
      <w:lvlText w:val="%2."/>
      <w:lvlJc w:val="left"/>
      <w:pPr>
        <w:tabs>
          <w:tab w:val="num" w:pos="539"/>
        </w:tabs>
        <w:ind w:left="539" w:hanging="397"/>
      </w:pPr>
      <w:rPr>
        <w:rFonts w:ascii="Arial" w:hAnsi="Arial" w:hint="default"/>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58B4277A"/>
    <w:multiLevelType w:val="hybridMultilevel"/>
    <w:tmpl w:val="B9B2511E"/>
    <w:lvl w:ilvl="0" w:tplc="2FD0BA4E">
      <w:start w:val="10"/>
      <w:numFmt w:val="bullet"/>
      <w:lvlText w:val="-"/>
      <w:lvlJc w:val="left"/>
      <w:pPr>
        <w:ind w:left="1152" w:hanging="360"/>
      </w:pPr>
      <w:rPr>
        <w:rFonts w:ascii="Ebrima" w:eastAsiaTheme="minorHAnsi" w:hAnsi="Ebrima" w:cs="Times New Roman"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20" w15:restartNumberingAfterBreak="0">
    <w:nsid w:val="5FE40117"/>
    <w:multiLevelType w:val="hybridMultilevel"/>
    <w:tmpl w:val="DDE406D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E741ED0"/>
    <w:multiLevelType w:val="hybridMultilevel"/>
    <w:tmpl w:val="FEB63702"/>
    <w:lvl w:ilvl="0" w:tplc="1F9E654A">
      <w:start w:val="1"/>
      <w:numFmt w:val="bullet"/>
      <w:lvlText w:val="•"/>
      <w:lvlJc w:val="left"/>
      <w:pPr>
        <w:ind w:left="720" w:hanging="360"/>
      </w:pPr>
      <w:rPr>
        <w:rFonts w:ascii="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1046388"/>
    <w:multiLevelType w:val="hybridMultilevel"/>
    <w:tmpl w:val="485EBB1E"/>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3" w15:restartNumberingAfterBreak="0">
    <w:nsid w:val="74BE6F02"/>
    <w:multiLevelType w:val="hybridMultilevel"/>
    <w:tmpl w:val="EBC8E672"/>
    <w:lvl w:ilvl="0" w:tplc="3046565C">
      <w:start w:val="1"/>
      <w:numFmt w:val="bullet"/>
      <w:lvlText w:val="•"/>
      <w:lvlJc w:val="left"/>
      <w:pPr>
        <w:tabs>
          <w:tab w:val="num" w:pos="720"/>
        </w:tabs>
        <w:ind w:left="720" w:hanging="360"/>
      </w:pPr>
      <w:rPr>
        <w:rFonts w:ascii="Times New Roman" w:hAnsi="Times New Roman" w:hint="default"/>
      </w:rPr>
    </w:lvl>
    <w:lvl w:ilvl="1" w:tplc="A09C2E52" w:tentative="1">
      <w:start w:val="1"/>
      <w:numFmt w:val="bullet"/>
      <w:lvlText w:val="•"/>
      <w:lvlJc w:val="left"/>
      <w:pPr>
        <w:tabs>
          <w:tab w:val="num" w:pos="1440"/>
        </w:tabs>
        <w:ind w:left="1440" w:hanging="360"/>
      </w:pPr>
      <w:rPr>
        <w:rFonts w:ascii="Times New Roman" w:hAnsi="Times New Roman" w:hint="default"/>
      </w:rPr>
    </w:lvl>
    <w:lvl w:ilvl="2" w:tplc="491080E6" w:tentative="1">
      <w:start w:val="1"/>
      <w:numFmt w:val="bullet"/>
      <w:lvlText w:val="•"/>
      <w:lvlJc w:val="left"/>
      <w:pPr>
        <w:tabs>
          <w:tab w:val="num" w:pos="2160"/>
        </w:tabs>
        <w:ind w:left="2160" w:hanging="360"/>
      </w:pPr>
      <w:rPr>
        <w:rFonts w:ascii="Times New Roman" w:hAnsi="Times New Roman" w:hint="default"/>
      </w:rPr>
    </w:lvl>
    <w:lvl w:ilvl="3" w:tplc="66204A58" w:tentative="1">
      <w:start w:val="1"/>
      <w:numFmt w:val="bullet"/>
      <w:lvlText w:val="•"/>
      <w:lvlJc w:val="left"/>
      <w:pPr>
        <w:tabs>
          <w:tab w:val="num" w:pos="2880"/>
        </w:tabs>
        <w:ind w:left="2880" w:hanging="360"/>
      </w:pPr>
      <w:rPr>
        <w:rFonts w:ascii="Times New Roman" w:hAnsi="Times New Roman" w:hint="default"/>
      </w:rPr>
    </w:lvl>
    <w:lvl w:ilvl="4" w:tplc="68AE36A0" w:tentative="1">
      <w:start w:val="1"/>
      <w:numFmt w:val="bullet"/>
      <w:lvlText w:val="•"/>
      <w:lvlJc w:val="left"/>
      <w:pPr>
        <w:tabs>
          <w:tab w:val="num" w:pos="3600"/>
        </w:tabs>
        <w:ind w:left="3600" w:hanging="360"/>
      </w:pPr>
      <w:rPr>
        <w:rFonts w:ascii="Times New Roman" w:hAnsi="Times New Roman" w:hint="default"/>
      </w:rPr>
    </w:lvl>
    <w:lvl w:ilvl="5" w:tplc="0EFADA22" w:tentative="1">
      <w:start w:val="1"/>
      <w:numFmt w:val="bullet"/>
      <w:lvlText w:val="•"/>
      <w:lvlJc w:val="left"/>
      <w:pPr>
        <w:tabs>
          <w:tab w:val="num" w:pos="4320"/>
        </w:tabs>
        <w:ind w:left="4320" w:hanging="360"/>
      </w:pPr>
      <w:rPr>
        <w:rFonts w:ascii="Times New Roman" w:hAnsi="Times New Roman" w:hint="default"/>
      </w:rPr>
    </w:lvl>
    <w:lvl w:ilvl="6" w:tplc="D9F048B2" w:tentative="1">
      <w:start w:val="1"/>
      <w:numFmt w:val="bullet"/>
      <w:lvlText w:val="•"/>
      <w:lvlJc w:val="left"/>
      <w:pPr>
        <w:tabs>
          <w:tab w:val="num" w:pos="5040"/>
        </w:tabs>
        <w:ind w:left="5040" w:hanging="360"/>
      </w:pPr>
      <w:rPr>
        <w:rFonts w:ascii="Times New Roman" w:hAnsi="Times New Roman" w:hint="default"/>
      </w:rPr>
    </w:lvl>
    <w:lvl w:ilvl="7" w:tplc="25E63832" w:tentative="1">
      <w:start w:val="1"/>
      <w:numFmt w:val="bullet"/>
      <w:lvlText w:val="•"/>
      <w:lvlJc w:val="left"/>
      <w:pPr>
        <w:tabs>
          <w:tab w:val="num" w:pos="5760"/>
        </w:tabs>
        <w:ind w:left="5760" w:hanging="360"/>
      </w:pPr>
      <w:rPr>
        <w:rFonts w:ascii="Times New Roman" w:hAnsi="Times New Roman" w:hint="default"/>
      </w:rPr>
    </w:lvl>
    <w:lvl w:ilvl="8" w:tplc="64FEBDE8"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9806699"/>
    <w:multiLevelType w:val="hybridMultilevel"/>
    <w:tmpl w:val="91028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76532970">
    <w:abstractNumId w:val="18"/>
  </w:num>
  <w:num w:numId="2" w16cid:durableId="977346170">
    <w:abstractNumId w:val="23"/>
  </w:num>
  <w:num w:numId="3" w16cid:durableId="7996942">
    <w:abstractNumId w:val="14"/>
  </w:num>
  <w:num w:numId="4" w16cid:durableId="394470260">
    <w:abstractNumId w:val="5"/>
  </w:num>
  <w:num w:numId="5" w16cid:durableId="1798911858">
    <w:abstractNumId w:val="1"/>
  </w:num>
  <w:num w:numId="6" w16cid:durableId="1719086978">
    <w:abstractNumId w:val="20"/>
  </w:num>
  <w:num w:numId="7" w16cid:durableId="2116822942">
    <w:abstractNumId w:val="16"/>
  </w:num>
  <w:num w:numId="8" w16cid:durableId="1107430244">
    <w:abstractNumId w:val="22"/>
  </w:num>
  <w:num w:numId="9" w16cid:durableId="739443403">
    <w:abstractNumId w:val="9"/>
  </w:num>
  <w:num w:numId="10" w16cid:durableId="93593258">
    <w:abstractNumId w:val="11"/>
  </w:num>
  <w:num w:numId="11" w16cid:durableId="690451111">
    <w:abstractNumId w:val="15"/>
  </w:num>
  <w:num w:numId="12" w16cid:durableId="563760854">
    <w:abstractNumId w:val="21"/>
  </w:num>
  <w:num w:numId="13" w16cid:durableId="1605183831">
    <w:abstractNumId w:val="7"/>
  </w:num>
  <w:num w:numId="14" w16cid:durableId="1803424414">
    <w:abstractNumId w:val="6"/>
  </w:num>
  <w:num w:numId="15" w16cid:durableId="354817766">
    <w:abstractNumId w:val="13"/>
  </w:num>
  <w:num w:numId="16" w16cid:durableId="601570896">
    <w:abstractNumId w:val="2"/>
  </w:num>
  <w:num w:numId="17" w16cid:durableId="1792741819">
    <w:abstractNumId w:val="8"/>
  </w:num>
  <w:num w:numId="18" w16cid:durableId="271983833">
    <w:abstractNumId w:val="4"/>
  </w:num>
  <w:num w:numId="19" w16cid:durableId="662666570">
    <w:abstractNumId w:val="12"/>
  </w:num>
  <w:num w:numId="20" w16cid:durableId="1239905202">
    <w:abstractNumId w:val="10"/>
  </w:num>
  <w:num w:numId="21" w16cid:durableId="2005740417">
    <w:abstractNumId w:val="19"/>
  </w:num>
  <w:num w:numId="22" w16cid:durableId="1748918942">
    <w:abstractNumId w:val="17"/>
  </w:num>
  <w:num w:numId="23" w16cid:durableId="520164685">
    <w:abstractNumId w:val="24"/>
  </w:num>
  <w:num w:numId="24" w16cid:durableId="139081546">
    <w:abstractNumId w:val="0"/>
  </w:num>
  <w:num w:numId="25" w16cid:durableId="1934261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2C2"/>
    <w:rsid w:val="00000167"/>
    <w:rsid w:val="00041F0A"/>
    <w:rsid w:val="000542EF"/>
    <w:rsid w:val="000B7639"/>
    <w:rsid w:val="000E4D98"/>
    <w:rsid w:val="000E5C43"/>
    <w:rsid w:val="000F3216"/>
    <w:rsid w:val="001028BD"/>
    <w:rsid w:val="00105272"/>
    <w:rsid w:val="001134E8"/>
    <w:rsid w:val="00117953"/>
    <w:rsid w:val="00144EEA"/>
    <w:rsid w:val="001643AF"/>
    <w:rsid w:val="00170165"/>
    <w:rsid w:val="00171331"/>
    <w:rsid w:val="001A1205"/>
    <w:rsid w:val="001C4B31"/>
    <w:rsid w:val="001D0F9C"/>
    <w:rsid w:val="001D2D00"/>
    <w:rsid w:val="001D323C"/>
    <w:rsid w:val="001D6417"/>
    <w:rsid w:val="001D7DC3"/>
    <w:rsid w:val="001E7BF9"/>
    <w:rsid w:val="00210C99"/>
    <w:rsid w:val="00216CEF"/>
    <w:rsid w:val="00217A88"/>
    <w:rsid w:val="00234F3D"/>
    <w:rsid w:val="002532BD"/>
    <w:rsid w:val="0026722D"/>
    <w:rsid w:val="00272A61"/>
    <w:rsid w:val="00280664"/>
    <w:rsid w:val="00290674"/>
    <w:rsid w:val="002C0219"/>
    <w:rsid w:val="002C1829"/>
    <w:rsid w:val="002D1064"/>
    <w:rsid w:val="002D636F"/>
    <w:rsid w:val="002F3758"/>
    <w:rsid w:val="002F6829"/>
    <w:rsid w:val="00324188"/>
    <w:rsid w:val="0035382F"/>
    <w:rsid w:val="003573AC"/>
    <w:rsid w:val="00357D89"/>
    <w:rsid w:val="0038749A"/>
    <w:rsid w:val="00393886"/>
    <w:rsid w:val="003A5E60"/>
    <w:rsid w:val="003B5F81"/>
    <w:rsid w:val="0040021D"/>
    <w:rsid w:val="00420521"/>
    <w:rsid w:val="00422D80"/>
    <w:rsid w:val="0042387D"/>
    <w:rsid w:val="004341C8"/>
    <w:rsid w:val="0045637A"/>
    <w:rsid w:val="004702C2"/>
    <w:rsid w:val="004B0288"/>
    <w:rsid w:val="004C69BF"/>
    <w:rsid w:val="004D71AD"/>
    <w:rsid w:val="004E186E"/>
    <w:rsid w:val="00506CA1"/>
    <w:rsid w:val="00530BBB"/>
    <w:rsid w:val="00571B00"/>
    <w:rsid w:val="00577504"/>
    <w:rsid w:val="00590123"/>
    <w:rsid w:val="005D0EDC"/>
    <w:rsid w:val="005D4F4F"/>
    <w:rsid w:val="005E5B99"/>
    <w:rsid w:val="005F479E"/>
    <w:rsid w:val="00621230"/>
    <w:rsid w:val="00624200"/>
    <w:rsid w:val="0062466B"/>
    <w:rsid w:val="00624AAF"/>
    <w:rsid w:val="00633309"/>
    <w:rsid w:val="00641944"/>
    <w:rsid w:val="006476CF"/>
    <w:rsid w:val="00653CB9"/>
    <w:rsid w:val="006564A5"/>
    <w:rsid w:val="00663ED3"/>
    <w:rsid w:val="00673A84"/>
    <w:rsid w:val="0068555C"/>
    <w:rsid w:val="006925A0"/>
    <w:rsid w:val="006A7AED"/>
    <w:rsid w:val="006B78FD"/>
    <w:rsid w:val="006D4C40"/>
    <w:rsid w:val="006D6E47"/>
    <w:rsid w:val="006D700B"/>
    <w:rsid w:val="007051DC"/>
    <w:rsid w:val="00705209"/>
    <w:rsid w:val="007139AE"/>
    <w:rsid w:val="0073287E"/>
    <w:rsid w:val="007359CC"/>
    <w:rsid w:val="00741198"/>
    <w:rsid w:val="00755704"/>
    <w:rsid w:val="00764A63"/>
    <w:rsid w:val="0077027B"/>
    <w:rsid w:val="00785242"/>
    <w:rsid w:val="0078561B"/>
    <w:rsid w:val="007B02D8"/>
    <w:rsid w:val="007B60E0"/>
    <w:rsid w:val="007D1429"/>
    <w:rsid w:val="007E12D1"/>
    <w:rsid w:val="007E3FCC"/>
    <w:rsid w:val="007E6CC7"/>
    <w:rsid w:val="007F4DB0"/>
    <w:rsid w:val="00802BDC"/>
    <w:rsid w:val="00807EB4"/>
    <w:rsid w:val="00815D2A"/>
    <w:rsid w:val="00816FCC"/>
    <w:rsid w:val="00822B7A"/>
    <w:rsid w:val="00834F51"/>
    <w:rsid w:val="00863AB9"/>
    <w:rsid w:val="00897403"/>
    <w:rsid w:val="0089752D"/>
    <w:rsid w:val="008A1F7E"/>
    <w:rsid w:val="008B23B4"/>
    <w:rsid w:val="008C57E9"/>
    <w:rsid w:val="008D0A5B"/>
    <w:rsid w:val="008D2106"/>
    <w:rsid w:val="008D5053"/>
    <w:rsid w:val="008E3A5F"/>
    <w:rsid w:val="008F2876"/>
    <w:rsid w:val="0092387B"/>
    <w:rsid w:val="00944B7C"/>
    <w:rsid w:val="0094631D"/>
    <w:rsid w:val="00957A64"/>
    <w:rsid w:val="009A0DD4"/>
    <w:rsid w:val="009B7E58"/>
    <w:rsid w:val="009C0752"/>
    <w:rsid w:val="009C2061"/>
    <w:rsid w:val="009D44C4"/>
    <w:rsid w:val="009E0E41"/>
    <w:rsid w:val="009F2DCA"/>
    <w:rsid w:val="009F7C6C"/>
    <w:rsid w:val="00A27DC8"/>
    <w:rsid w:val="00A317B9"/>
    <w:rsid w:val="00A32696"/>
    <w:rsid w:val="00A561D3"/>
    <w:rsid w:val="00A638F3"/>
    <w:rsid w:val="00A64F11"/>
    <w:rsid w:val="00A668B2"/>
    <w:rsid w:val="00A73A9D"/>
    <w:rsid w:val="00A84243"/>
    <w:rsid w:val="00A8457A"/>
    <w:rsid w:val="00AB2216"/>
    <w:rsid w:val="00AD3792"/>
    <w:rsid w:val="00AD4A82"/>
    <w:rsid w:val="00B2058B"/>
    <w:rsid w:val="00B24A77"/>
    <w:rsid w:val="00B3781D"/>
    <w:rsid w:val="00B43640"/>
    <w:rsid w:val="00B4532E"/>
    <w:rsid w:val="00B47509"/>
    <w:rsid w:val="00B60632"/>
    <w:rsid w:val="00B66ADA"/>
    <w:rsid w:val="00B705B1"/>
    <w:rsid w:val="00B72BB5"/>
    <w:rsid w:val="00B74EAF"/>
    <w:rsid w:val="00BA1757"/>
    <w:rsid w:val="00BA33F6"/>
    <w:rsid w:val="00BA57BC"/>
    <w:rsid w:val="00BC59F8"/>
    <w:rsid w:val="00BC738C"/>
    <w:rsid w:val="00C039E7"/>
    <w:rsid w:val="00C04EA7"/>
    <w:rsid w:val="00C34836"/>
    <w:rsid w:val="00C34B0A"/>
    <w:rsid w:val="00C5149E"/>
    <w:rsid w:val="00C92233"/>
    <w:rsid w:val="00C9679B"/>
    <w:rsid w:val="00CA2AB6"/>
    <w:rsid w:val="00CA6F83"/>
    <w:rsid w:val="00CB0A05"/>
    <w:rsid w:val="00CB345F"/>
    <w:rsid w:val="00CB7C88"/>
    <w:rsid w:val="00CC04CA"/>
    <w:rsid w:val="00CD61C9"/>
    <w:rsid w:val="00CF2390"/>
    <w:rsid w:val="00D02918"/>
    <w:rsid w:val="00D23C14"/>
    <w:rsid w:val="00D357ED"/>
    <w:rsid w:val="00D57E39"/>
    <w:rsid w:val="00D660AF"/>
    <w:rsid w:val="00D72E9F"/>
    <w:rsid w:val="00D91541"/>
    <w:rsid w:val="00DD0CBE"/>
    <w:rsid w:val="00DF13D6"/>
    <w:rsid w:val="00DF4FAE"/>
    <w:rsid w:val="00E003A0"/>
    <w:rsid w:val="00E03982"/>
    <w:rsid w:val="00E158F4"/>
    <w:rsid w:val="00E24217"/>
    <w:rsid w:val="00E54257"/>
    <w:rsid w:val="00E663E3"/>
    <w:rsid w:val="00E7033F"/>
    <w:rsid w:val="00E808B7"/>
    <w:rsid w:val="00E87A29"/>
    <w:rsid w:val="00E9258D"/>
    <w:rsid w:val="00E93AB4"/>
    <w:rsid w:val="00E9707F"/>
    <w:rsid w:val="00EA00B7"/>
    <w:rsid w:val="00EA5320"/>
    <w:rsid w:val="00EC53E5"/>
    <w:rsid w:val="00EE305D"/>
    <w:rsid w:val="00F00B41"/>
    <w:rsid w:val="00F20BB8"/>
    <w:rsid w:val="00F250F8"/>
    <w:rsid w:val="00F2584E"/>
    <w:rsid w:val="00F449B9"/>
    <w:rsid w:val="00F4574D"/>
    <w:rsid w:val="00F71AC0"/>
    <w:rsid w:val="00F83907"/>
    <w:rsid w:val="00FA53BE"/>
    <w:rsid w:val="00FA620B"/>
    <w:rsid w:val="00FC150B"/>
    <w:rsid w:val="00FC48A0"/>
    <w:rsid w:val="00FD3B0E"/>
    <w:rsid w:val="00FF0756"/>
    <w:rsid w:val="00FF506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B1EE6"/>
  <w15:chartTrackingRefBased/>
  <w15:docId w15:val="{C2819EB8-78E3-8A4C-B50E-85B68D012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02C2"/>
    <w:pPr>
      <w:spacing w:before="120" w:line="288" w:lineRule="auto"/>
      <w:jc w:val="both"/>
    </w:pPr>
    <w:rPr>
      <w:rFonts w:ascii="Calibri" w:eastAsia="Times New Roman" w:hAnsi="Calibri" w:cs="Times New Roman"/>
      <w:sz w:val="22"/>
      <w:lang w:eastAsia="cs-CZ"/>
    </w:rPr>
  </w:style>
  <w:style w:type="paragraph" w:styleId="Nadpis1">
    <w:name w:val="heading 1"/>
    <w:aliases w:val="H2,No numbers,PBC,h1,Article Heading,Framew.1,H1,Heading 1(2),Hoofdstukkop"/>
    <w:basedOn w:val="Normln"/>
    <w:next w:val="Normln"/>
    <w:link w:val="Nadpis1Char"/>
    <w:qFormat/>
    <w:rsid w:val="004702C2"/>
    <w:pPr>
      <w:keepNext/>
      <w:numPr>
        <w:numId w:val="1"/>
      </w:numPr>
      <w:spacing w:before="600"/>
      <w:jc w:val="center"/>
      <w:outlineLvl w:val="0"/>
    </w:pPr>
    <w:rPr>
      <w:rFonts w:cs="Arial"/>
      <w:b/>
      <w:bCs/>
      <w:kern w:val="32"/>
      <w:sz w:val="24"/>
      <w:szCs w:val="32"/>
    </w:rPr>
  </w:style>
  <w:style w:type="paragraph" w:styleId="Nadpis2">
    <w:name w:val="heading 2"/>
    <w:aliases w:val="2,2PBC,h2,sub-sect,21,PA Major Section,Paragraafkop,Section Heading,h21,sub-sect1"/>
    <w:basedOn w:val="Normln"/>
    <w:link w:val="Nadpis2Char"/>
    <w:qFormat/>
    <w:rsid w:val="004702C2"/>
    <w:pPr>
      <w:numPr>
        <w:ilvl w:val="1"/>
        <w:numId w:val="1"/>
      </w:numPr>
      <w:outlineLvl w:val="1"/>
    </w:pPr>
    <w:rPr>
      <w:rFonts w:cs="Arial"/>
      <w:bCs/>
      <w:iCs/>
      <w:szCs w:val="28"/>
    </w:rPr>
  </w:style>
  <w:style w:type="paragraph" w:styleId="Nadpis3">
    <w:name w:val="heading 3"/>
    <w:aliases w:val="h3,3,H3,Lev 3,Subparagraafkop"/>
    <w:basedOn w:val="Normln"/>
    <w:next w:val="Normln"/>
    <w:link w:val="Nadpis3Char"/>
    <w:qFormat/>
    <w:rsid w:val="004702C2"/>
    <w:pPr>
      <w:numPr>
        <w:ilvl w:val="2"/>
        <w:numId w:val="1"/>
      </w:numPr>
      <w:spacing w:before="240"/>
      <w:outlineLvl w:val="2"/>
    </w:pPr>
    <w:rPr>
      <w:rFonts w:cs="Arial"/>
      <w:bCs/>
      <w:szCs w:val="26"/>
    </w:rPr>
  </w:style>
  <w:style w:type="paragraph" w:styleId="Nadpis4">
    <w:name w:val="heading 4"/>
    <w:aliases w:val="h4,smlouva"/>
    <w:basedOn w:val="Normln"/>
    <w:next w:val="Normln"/>
    <w:link w:val="Nadpis4Char"/>
    <w:qFormat/>
    <w:rsid w:val="004702C2"/>
    <w:pPr>
      <w:numPr>
        <w:ilvl w:val="3"/>
        <w:numId w:val="1"/>
      </w:numPr>
      <w:outlineLvl w:val="3"/>
    </w:pPr>
    <w:rPr>
      <w:b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2 Char,No numbers Char,PBC Char,h1 Char,Article Heading Char,Framew.1 Char,H1 Char,Heading 1(2) Char,Hoofdstukkop Char"/>
    <w:basedOn w:val="Standardnpsmoodstavce"/>
    <w:link w:val="Nadpis1"/>
    <w:rsid w:val="004702C2"/>
    <w:rPr>
      <w:rFonts w:ascii="Calibri" w:eastAsia="Times New Roman" w:hAnsi="Calibri" w:cs="Arial"/>
      <w:b/>
      <w:bCs/>
      <w:kern w:val="32"/>
      <w:szCs w:val="32"/>
      <w:lang w:eastAsia="cs-CZ"/>
    </w:rPr>
  </w:style>
  <w:style w:type="character" w:customStyle="1" w:styleId="Nadpis2Char">
    <w:name w:val="Nadpis 2 Char"/>
    <w:aliases w:val="2 Char,2PBC Char,h2 Char,sub-sect Char,21 Char,PA Major Section Char,Paragraafkop Char,Section Heading Char,h21 Char,sub-sect1 Char"/>
    <w:basedOn w:val="Standardnpsmoodstavce"/>
    <w:link w:val="Nadpis2"/>
    <w:rsid w:val="004702C2"/>
    <w:rPr>
      <w:rFonts w:ascii="Calibri" w:eastAsia="Times New Roman" w:hAnsi="Calibri" w:cs="Arial"/>
      <w:bCs/>
      <w:iCs/>
      <w:sz w:val="22"/>
      <w:szCs w:val="28"/>
      <w:lang w:eastAsia="cs-CZ"/>
    </w:rPr>
  </w:style>
  <w:style w:type="character" w:customStyle="1" w:styleId="Nadpis3Char">
    <w:name w:val="Nadpis 3 Char"/>
    <w:aliases w:val="h3 Char,3 Char,H3 Char,Lev 3 Char,Subparagraafkop Char"/>
    <w:basedOn w:val="Standardnpsmoodstavce"/>
    <w:link w:val="Nadpis3"/>
    <w:rsid w:val="004702C2"/>
    <w:rPr>
      <w:rFonts w:ascii="Calibri" w:eastAsia="Times New Roman" w:hAnsi="Calibri" w:cs="Arial"/>
      <w:bCs/>
      <w:sz w:val="22"/>
      <w:szCs w:val="26"/>
      <w:lang w:eastAsia="cs-CZ"/>
    </w:rPr>
  </w:style>
  <w:style w:type="character" w:customStyle="1" w:styleId="Nadpis4Char">
    <w:name w:val="Nadpis 4 Char"/>
    <w:aliases w:val="h4 Char,smlouva Char"/>
    <w:basedOn w:val="Standardnpsmoodstavce"/>
    <w:link w:val="Nadpis4"/>
    <w:rsid w:val="004702C2"/>
    <w:rPr>
      <w:rFonts w:ascii="Calibri" w:eastAsia="Times New Roman" w:hAnsi="Calibri" w:cs="Times New Roman"/>
      <w:bCs/>
      <w:sz w:val="22"/>
      <w:szCs w:val="28"/>
      <w:lang w:eastAsia="cs-CZ"/>
    </w:rPr>
  </w:style>
  <w:style w:type="paragraph" w:styleId="Zpat">
    <w:name w:val="footer"/>
    <w:basedOn w:val="Normln"/>
    <w:link w:val="ZpatChar"/>
    <w:uiPriority w:val="99"/>
    <w:rsid w:val="004702C2"/>
    <w:pPr>
      <w:tabs>
        <w:tab w:val="center" w:pos="4536"/>
        <w:tab w:val="right" w:pos="9072"/>
      </w:tabs>
      <w:spacing w:before="0" w:line="240" w:lineRule="auto"/>
    </w:pPr>
    <w:rPr>
      <w:sz w:val="16"/>
    </w:rPr>
  </w:style>
  <w:style w:type="character" w:customStyle="1" w:styleId="ZpatChar">
    <w:name w:val="Zápatí Char"/>
    <w:basedOn w:val="Standardnpsmoodstavce"/>
    <w:link w:val="Zpat"/>
    <w:uiPriority w:val="99"/>
    <w:rsid w:val="004702C2"/>
    <w:rPr>
      <w:rFonts w:ascii="Calibri" w:eastAsia="Times New Roman" w:hAnsi="Calibri" w:cs="Times New Roman"/>
      <w:sz w:val="16"/>
      <w:lang w:eastAsia="cs-CZ"/>
    </w:rPr>
  </w:style>
  <w:style w:type="character" w:styleId="slostrnky">
    <w:name w:val="page number"/>
    <w:basedOn w:val="Standardnpsmoodstavce"/>
    <w:semiHidden/>
    <w:rsid w:val="004702C2"/>
    <w:rPr>
      <w:rFonts w:ascii="Arial" w:hAnsi="Arial"/>
      <w:sz w:val="22"/>
    </w:rPr>
  </w:style>
  <w:style w:type="character" w:styleId="Odkaznakoment">
    <w:name w:val="annotation reference"/>
    <w:basedOn w:val="Standardnpsmoodstavce"/>
    <w:uiPriority w:val="99"/>
    <w:semiHidden/>
    <w:rsid w:val="004702C2"/>
    <w:rPr>
      <w:sz w:val="16"/>
      <w:szCs w:val="16"/>
    </w:rPr>
  </w:style>
  <w:style w:type="character" w:styleId="Hypertextovodkaz">
    <w:name w:val="Hyperlink"/>
    <w:basedOn w:val="Standardnpsmoodstavce"/>
    <w:uiPriority w:val="99"/>
    <w:rsid w:val="004702C2"/>
    <w:rPr>
      <w:color w:val="0000FF"/>
      <w:u w:val="single"/>
    </w:rPr>
  </w:style>
  <w:style w:type="paragraph" w:styleId="Textpoznpodarou">
    <w:name w:val="footnote text"/>
    <w:basedOn w:val="Normln"/>
    <w:link w:val="TextpoznpodarouChar"/>
    <w:semiHidden/>
    <w:rsid w:val="004702C2"/>
    <w:pPr>
      <w:spacing w:before="0" w:after="60" w:line="240" w:lineRule="auto"/>
    </w:pPr>
    <w:rPr>
      <w:sz w:val="20"/>
      <w:szCs w:val="20"/>
    </w:rPr>
  </w:style>
  <w:style w:type="character" w:customStyle="1" w:styleId="TextpoznpodarouChar">
    <w:name w:val="Text pozn. pod čarou Char"/>
    <w:basedOn w:val="Standardnpsmoodstavce"/>
    <w:link w:val="Textpoznpodarou"/>
    <w:semiHidden/>
    <w:rsid w:val="004702C2"/>
    <w:rPr>
      <w:rFonts w:ascii="Calibri" w:eastAsia="Times New Roman" w:hAnsi="Calibri" w:cs="Times New Roman"/>
      <w:sz w:val="20"/>
      <w:szCs w:val="20"/>
      <w:lang w:eastAsia="cs-CZ"/>
    </w:rPr>
  </w:style>
  <w:style w:type="character" w:styleId="Znakapoznpodarou">
    <w:name w:val="footnote reference"/>
    <w:basedOn w:val="Standardnpsmoodstavce"/>
    <w:semiHidden/>
    <w:rsid w:val="004702C2"/>
    <w:rPr>
      <w:vertAlign w:val="superscript"/>
    </w:rPr>
  </w:style>
  <w:style w:type="paragraph" w:customStyle="1" w:styleId="Odstavecseseznamem1">
    <w:name w:val="Odstavec se seznamem1"/>
    <w:basedOn w:val="Normln"/>
    <w:rsid w:val="004702C2"/>
    <w:pPr>
      <w:spacing w:line="240" w:lineRule="auto"/>
      <w:ind w:left="720"/>
      <w:contextualSpacing/>
    </w:pPr>
    <w:rPr>
      <w:szCs w:val="22"/>
      <w:lang w:eastAsia="en-US"/>
    </w:rPr>
  </w:style>
  <w:style w:type="paragraph" w:styleId="Titulek">
    <w:name w:val="caption"/>
    <w:basedOn w:val="Normln"/>
    <w:next w:val="Normln"/>
    <w:qFormat/>
    <w:rsid w:val="004702C2"/>
    <w:pPr>
      <w:spacing w:before="0" w:after="200" w:line="240" w:lineRule="auto"/>
    </w:pPr>
    <w:rPr>
      <w:b/>
      <w:bCs/>
      <w:sz w:val="18"/>
      <w:szCs w:val="18"/>
      <w:lang w:eastAsia="en-US"/>
    </w:rPr>
  </w:style>
  <w:style w:type="paragraph" w:styleId="Zhlav">
    <w:name w:val="header"/>
    <w:basedOn w:val="Normln"/>
    <w:link w:val="ZhlavChar"/>
    <w:uiPriority w:val="99"/>
    <w:unhideWhenUsed/>
    <w:rsid w:val="004702C2"/>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4702C2"/>
    <w:rPr>
      <w:rFonts w:ascii="Calibri" w:eastAsia="Times New Roman" w:hAnsi="Calibri" w:cs="Times New Roman"/>
      <w:sz w:val="22"/>
      <w:lang w:eastAsia="cs-CZ"/>
    </w:rPr>
  </w:style>
  <w:style w:type="paragraph" w:styleId="Odstavecseseznamem">
    <w:name w:val="List Paragraph"/>
    <w:basedOn w:val="Normln"/>
    <w:link w:val="OdstavecseseznamemChar"/>
    <w:uiPriority w:val="34"/>
    <w:qFormat/>
    <w:rsid w:val="00E158F4"/>
    <w:pPr>
      <w:spacing w:before="0" w:after="160" w:line="259" w:lineRule="auto"/>
      <w:ind w:left="720"/>
      <w:contextualSpacing/>
      <w:jc w:val="left"/>
    </w:pPr>
    <w:rPr>
      <w:rFonts w:asciiTheme="minorHAnsi" w:eastAsiaTheme="minorHAnsi" w:hAnsiTheme="minorHAnsi" w:cstheme="minorBidi"/>
      <w:szCs w:val="22"/>
      <w:lang w:eastAsia="en-US"/>
    </w:rPr>
  </w:style>
  <w:style w:type="paragraph" w:customStyle="1" w:styleId="Level1">
    <w:name w:val="Level 1"/>
    <w:basedOn w:val="Normln"/>
    <w:rsid w:val="00E158F4"/>
    <w:pPr>
      <w:numPr>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2">
    <w:name w:val="Level 2"/>
    <w:basedOn w:val="Normln"/>
    <w:rsid w:val="00E158F4"/>
    <w:pPr>
      <w:numPr>
        <w:ilvl w:val="1"/>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3">
    <w:name w:val="Level 3"/>
    <w:basedOn w:val="Normln"/>
    <w:rsid w:val="00E158F4"/>
    <w:pPr>
      <w:numPr>
        <w:ilvl w:val="3"/>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5">
    <w:name w:val="Level 5"/>
    <w:basedOn w:val="Normln"/>
    <w:rsid w:val="00E158F4"/>
    <w:pPr>
      <w:numPr>
        <w:ilvl w:val="6"/>
        <w:numId w:val="19"/>
      </w:numPr>
      <w:spacing w:before="0" w:after="160" w:line="259" w:lineRule="auto"/>
      <w:jc w:val="left"/>
    </w:pPr>
    <w:rPr>
      <w:rFonts w:asciiTheme="minorHAnsi" w:eastAsiaTheme="minorHAnsi" w:hAnsiTheme="minorHAnsi" w:cstheme="minorBidi"/>
      <w:szCs w:val="22"/>
      <w:lang w:eastAsia="en-US"/>
    </w:rPr>
  </w:style>
  <w:style w:type="paragraph" w:styleId="Zkladntextodsazen">
    <w:name w:val="Body Text Indent"/>
    <w:basedOn w:val="Normln"/>
    <w:link w:val="ZkladntextodsazenChar"/>
    <w:uiPriority w:val="99"/>
    <w:rsid w:val="00E158F4"/>
    <w:pPr>
      <w:spacing w:before="0" w:line="240" w:lineRule="auto"/>
      <w:ind w:firstLine="426"/>
    </w:pPr>
    <w:rPr>
      <w:rFonts w:ascii="Times New Roman" w:hAnsi="Times New Roman"/>
      <w:sz w:val="24"/>
      <w:szCs w:val="20"/>
    </w:rPr>
  </w:style>
  <w:style w:type="character" w:customStyle="1" w:styleId="ZkladntextodsazenChar">
    <w:name w:val="Základní text odsazený Char"/>
    <w:basedOn w:val="Standardnpsmoodstavce"/>
    <w:link w:val="Zkladntextodsazen"/>
    <w:uiPriority w:val="99"/>
    <w:rsid w:val="00E158F4"/>
    <w:rPr>
      <w:rFonts w:ascii="Times New Roman" w:eastAsia="Times New Roman" w:hAnsi="Times New Roman" w:cs="Times New Roman"/>
      <w:szCs w:val="20"/>
      <w:lang w:eastAsia="cs-CZ"/>
    </w:rPr>
  </w:style>
  <w:style w:type="paragraph" w:styleId="Zkladntext">
    <w:name w:val="Body Text"/>
    <w:basedOn w:val="Normln"/>
    <w:link w:val="ZkladntextChar"/>
    <w:rsid w:val="00E158F4"/>
    <w:pPr>
      <w:spacing w:before="0" w:line="240" w:lineRule="auto"/>
    </w:pPr>
    <w:rPr>
      <w:rFonts w:ascii="Times New Roman" w:hAnsi="Times New Roman"/>
      <w:sz w:val="24"/>
      <w:szCs w:val="20"/>
    </w:rPr>
  </w:style>
  <w:style w:type="character" w:customStyle="1" w:styleId="ZkladntextChar">
    <w:name w:val="Základní text Char"/>
    <w:basedOn w:val="Standardnpsmoodstavce"/>
    <w:link w:val="Zkladntext"/>
    <w:rsid w:val="00E158F4"/>
    <w:rPr>
      <w:rFonts w:ascii="Times New Roman" w:eastAsia="Times New Roman" w:hAnsi="Times New Roman" w:cs="Times New Roman"/>
      <w:szCs w:val="20"/>
      <w:lang w:eastAsia="cs-CZ"/>
    </w:rPr>
  </w:style>
  <w:style w:type="paragraph" w:styleId="Textkomente">
    <w:name w:val="annotation text"/>
    <w:basedOn w:val="Normln"/>
    <w:link w:val="TextkomenteChar"/>
    <w:uiPriority w:val="99"/>
    <w:unhideWhenUsed/>
    <w:rsid w:val="00530BBB"/>
    <w:pPr>
      <w:spacing w:before="0" w:after="160" w:line="240" w:lineRule="auto"/>
      <w:jc w:val="left"/>
    </w:pPr>
    <w:rPr>
      <w:rFonts w:asciiTheme="minorHAnsi" w:eastAsiaTheme="minorHAnsi" w:hAnsiTheme="minorHAnsi" w:cstheme="minorBidi"/>
      <w:sz w:val="20"/>
      <w:szCs w:val="20"/>
      <w:lang w:eastAsia="en-US"/>
    </w:rPr>
  </w:style>
  <w:style w:type="character" w:customStyle="1" w:styleId="TextkomenteChar">
    <w:name w:val="Text komentáře Char"/>
    <w:basedOn w:val="Standardnpsmoodstavce"/>
    <w:link w:val="Textkomente"/>
    <w:uiPriority w:val="99"/>
    <w:rsid w:val="00530BBB"/>
    <w:rPr>
      <w:sz w:val="20"/>
      <w:szCs w:val="20"/>
    </w:rPr>
  </w:style>
  <w:style w:type="character" w:customStyle="1" w:styleId="OdstavecseseznamemChar">
    <w:name w:val="Odstavec se seznamem Char"/>
    <w:link w:val="Odstavecseseznamem"/>
    <w:uiPriority w:val="34"/>
    <w:rsid w:val="00EC53E5"/>
    <w:rPr>
      <w:sz w:val="22"/>
      <w:szCs w:val="22"/>
    </w:rPr>
  </w:style>
  <w:style w:type="paragraph" w:styleId="Revize">
    <w:name w:val="Revision"/>
    <w:hidden/>
    <w:uiPriority w:val="99"/>
    <w:semiHidden/>
    <w:rsid w:val="00E663E3"/>
    <w:rPr>
      <w:rFonts w:ascii="Calibri" w:eastAsia="Times New Roman" w:hAnsi="Calibri" w:cs="Times New Roman"/>
      <w:sz w:val="22"/>
      <w:lang w:eastAsia="cs-CZ"/>
    </w:rPr>
  </w:style>
  <w:style w:type="paragraph" w:styleId="Pedmtkomente">
    <w:name w:val="annotation subject"/>
    <w:basedOn w:val="Textkomente"/>
    <w:next w:val="Textkomente"/>
    <w:link w:val="PedmtkomenteChar"/>
    <w:uiPriority w:val="99"/>
    <w:semiHidden/>
    <w:unhideWhenUsed/>
    <w:rsid w:val="00C5149E"/>
    <w:pPr>
      <w:spacing w:before="120" w:after="0"/>
      <w:jc w:val="both"/>
    </w:pPr>
    <w:rPr>
      <w:rFonts w:ascii="Calibri" w:eastAsia="Times New Roman" w:hAnsi="Calibri" w:cs="Times New Roman"/>
      <w:b/>
      <w:bCs/>
      <w:lang w:eastAsia="cs-CZ"/>
    </w:rPr>
  </w:style>
  <w:style w:type="character" w:customStyle="1" w:styleId="PedmtkomenteChar">
    <w:name w:val="Předmět komentáře Char"/>
    <w:basedOn w:val="TextkomenteChar"/>
    <w:link w:val="Pedmtkomente"/>
    <w:uiPriority w:val="99"/>
    <w:semiHidden/>
    <w:rsid w:val="00C5149E"/>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o-world.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o-world.org"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CA9AA-0753-4B7D-BAC8-C35A07136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16</Pages>
  <Words>3066</Words>
  <Characters>18090</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21114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Radim Kohoutek</dc:creator>
  <cp:keywords/>
  <dc:description/>
  <cp:lastModifiedBy> </cp:lastModifiedBy>
  <cp:revision>19</cp:revision>
  <dcterms:created xsi:type="dcterms:W3CDTF">2023-01-05T15:08:00Z</dcterms:created>
  <dcterms:modified xsi:type="dcterms:W3CDTF">2024-05-15T12:43:00Z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2024-03-18T12:36:08Z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4fd7eecc-41c5-4ad8-b923-3e02515cd05e</vt:lpwstr>
  </property>
  <property fmtid="{D5CDD505-2E9C-101B-9397-08002B2CF9AE}" pid="8" name="MSIP_Label_690ebb53-23a2-471a-9c6e-17bd0d11311e_ContentBits">
    <vt:lpwstr>0</vt:lpwstr>
  </property>
</Properties>
</file>